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9126" w14:textId="3A017351" w:rsidR="008E179D" w:rsidRPr="00E432C0" w:rsidRDefault="00BE35D0" w:rsidP="00BE35D0">
      <w:pPr>
        <w:spacing w:after="120" w:line="240" w:lineRule="auto"/>
        <w:jc w:val="center"/>
        <w:rPr>
          <w:rFonts w:ascii="Times New Roman" w:eastAsia="Times New Roman" w:hAnsi="Times New Roman" w:cs="Times New Roman"/>
          <w:b/>
          <w:sz w:val="26"/>
          <w:szCs w:val="26"/>
          <w:u w:val="single"/>
          <w:lang w:eastAsia="en-GB"/>
        </w:rPr>
      </w:pPr>
      <w:r w:rsidRPr="00E432C0">
        <w:rPr>
          <w:rFonts w:ascii="Times New Roman" w:eastAsia="Times New Roman" w:hAnsi="Times New Roman" w:cs="Times New Roman"/>
          <w:b/>
          <w:sz w:val="26"/>
          <w:szCs w:val="26"/>
          <w:u w:val="single"/>
          <w:lang w:eastAsia="en-GB"/>
        </w:rPr>
        <w:t xml:space="preserve">ANNEX </w:t>
      </w:r>
      <w:r w:rsidR="00B808F4" w:rsidRPr="00E432C0">
        <w:rPr>
          <w:rFonts w:ascii="Times New Roman" w:eastAsia="Times New Roman" w:hAnsi="Times New Roman" w:cs="Times New Roman"/>
          <w:b/>
          <w:sz w:val="26"/>
          <w:szCs w:val="26"/>
          <w:u w:val="single"/>
          <w:lang w:eastAsia="en-GB"/>
        </w:rPr>
        <w:t xml:space="preserve">3 </w:t>
      </w:r>
      <w:r w:rsidRPr="00E432C0">
        <w:rPr>
          <w:rFonts w:ascii="Times New Roman" w:eastAsia="Times New Roman" w:hAnsi="Times New Roman" w:cs="Times New Roman"/>
          <w:b/>
          <w:sz w:val="26"/>
          <w:szCs w:val="26"/>
          <w:u w:val="single"/>
          <w:lang w:eastAsia="en-GB"/>
        </w:rPr>
        <w:t xml:space="preserve">- APPLICABLE </w:t>
      </w:r>
      <w:r w:rsidR="00D36C2F" w:rsidRPr="00E432C0">
        <w:rPr>
          <w:rFonts w:ascii="Times New Roman" w:eastAsia="Times New Roman" w:hAnsi="Times New Roman" w:cs="Times New Roman"/>
          <w:b/>
          <w:sz w:val="26"/>
          <w:szCs w:val="26"/>
          <w:u w:val="single"/>
          <w:lang w:eastAsia="en-GB"/>
        </w:rPr>
        <w:t>RATES</w:t>
      </w:r>
    </w:p>
    <w:p w14:paraId="4C3F9129" w14:textId="201234E5" w:rsidR="00A91261" w:rsidRPr="00E432C0" w:rsidRDefault="00A91261" w:rsidP="00AD34F3">
      <w:pPr>
        <w:spacing w:after="120" w:line="240" w:lineRule="auto"/>
        <w:jc w:val="both"/>
        <w:rPr>
          <w:rFonts w:ascii="Times New Roman" w:hAnsi="Times New Roman" w:cs="Times New Roman"/>
          <w:b/>
          <w:sz w:val="24"/>
          <w:szCs w:val="24"/>
          <w:highlight w:val="cyan"/>
        </w:rPr>
      </w:pPr>
    </w:p>
    <w:p w14:paraId="3E5D061C" w14:textId="3E751E01" w:rsidR="00A55CB7" w:rsidRPr="00E432C0" w:rsidRDefault="00A55CB7" w:rsidP="0031107B">
      <w:pPr>
        <w:pStyle w:val="Kop1"/>
        <w:rPr>
          <w:u w:val="single"/>
        </w:rPr>
      </w:pPr>
      <w:r w:rsidRPr="00E432C0">
        <w:rPr>
          <w:u w:val="single"/>
        </w:rPr>
        <w:t xml:space="preserve">VOLUNTEERING </w:t>
      </w:r>
    </w:p>
    <w:p w14:paraId="4C3F912B" w14:textId="2F2CBA0E" w:rsidR="008E179D" w:rsidRPr="00E432C0" w:rsidRDefault="008E179D" w:rsidP="009F1A33">
      <w:pPr>
        <w:pStyle w:val="Kop2"/>
      </w:pPr>
      <w:r w:rsidRPr="00E432C0">
        <w:t xml:space="preserve">Travel </w:t>
      </w:r>
    </w:p>
    <w:p w14:paraId="58C08170" w14:textId="77777777" w:rsidR="00A55CB7" w:rsidRPr="00E432C0" w:rsidRDefault="00A55CB7" w:rsidP="00A55CB7">
      <w:pPr>
        <w:spacing w:after="120" w:line="240" w:lineRule="auto"/>
        <w:ind w:left="360"/>
        <w:jc w:val="both"/>
        <w:rPr>
          <w:rFonts w:ascii="Times New Roman" w:hAnsi="Times New Roman"/>
          <w:sz w:val="24"/>
          <w:szCs w:val="24"/>
        </w:rPr>
      </w:pPr>
      <w:r w:rsidRPr="00E432C0">
        <w:rPr>
          <w:rFonts w:ascii="Times New Roman" w:hAnsi="Times New Roman"/>
          <w:sz w:val="24"/>
          <w:szCs w:val="24"/>
        </w:rPr>
        <w:t xml:space="preserve">Nota bene: the "travel distance" represents the distance between the place of origin and the venue, whereas the "amount" covers the contribution to the travel both to </w:t>
      </w:r>
      <w:r w:rsidRPr="00E432C0">
        <w:rPr>
          <w:rFonts w:ascii="Times New Roman" w:hAnsi="Times New Roman"/>
          <w:sz w:val="24"/>
          <w:szCs w:val="24"/>
          <w:u w:val="single"/>
        </w:rPr>
        <w:t>and</w:t>
      </w:r>
      <w:r w:rsidRPr="00E432C0">
        <w:rPr>
          <w:rFonts w:ascii="Times New Roman" w:hAnsi="Times New Roman"/>
          <w:sz w:val="24"/>
          <w:szCs w:val="24"/>
        </w:rPr>
        <w:t xml:space="preserve"> from the venue.</w:t>
      </w:r>
    </w:p>
    <w:p w14:paraId="206178DF" w14:textId="77777777" w:rsidR="00A55CB7" w:rsidRPr="00E432C0" w:rsidRDefault="00A55CB7" w:rsidP="0031107B">
      <w:pPr>
        <w:spacing w:after="120" w:line="240" w:lineRule="auto"/>
        <w:ind w:left="2880" w:firstLine="720"/>
        <w:jc w:val="both"/>
        <w:rPr>
          <w:rFonts w:ascii="Times New Roman" w:hAnsi="Times New Roman" w:cs="Times New Roman"/>
        </w:rPr>
      </w:pPr>
    </w:p>
    <w:p w14:paraId="6C4BE73F" w14:textId="1D4742B9" w:rsidR="00A55CB7" w:rsidRPr="00E432C0" w:rsidRDefault="00AD34F3" w:rsidP="0031107B">
      <w:pPr>
        <w:spacing w:after="120" w:line="240" w:lineRule="auto"/>
        <w:ind w:left="2880" w:firstLine="720"/>
        <w:jc w:val="both"/>
        <w:rPr>
          <w:rFonts w:ascii="Times New Roman" w:hAnsi="Times New Roman" w:cs="Times New Roman"/>
          <w:u w:val="single"/>
        </w:rPr>
      </w:pPr>
      <w:r w:rsidRPr="00E432C0">
        <w:rPr>
          <w:rFonts w:ascii="Times New Roman" w:hAnsi="Times New Roman" w:cs="Times New Roman"/>
          <w:u w:val="single"/>
        </w:rPr>
        <w:t>Table 1 – Travel rates</w:t>
      </w:r>
    </w:p>
    <w:p w14:paraId="51D76855" w14:textId="77777777" w:rsidR="00A55CB7" w:rsidRPr="00E432C0"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gridCol w:w="1687"/>
      </w:tblGrid>
      <w:tr w:rsidR="00613C12" w:rsidRPr="00894694" w14:paraId="3699D77D" w14:textId="346110B5" w:rsidTr="00613C12">
        <w:trPr>
          <w:trHeight w:val="519"/>
          <w:jc w:val="center"/>
        </w:trPr>
        <w:tc>
          <w:tcPr>
            <w:tcW w:w="5000" w:type="pct"/>
            <w:gridSpan w:val="3"/>
            <w:tcBorders>
              <w:bottom w:val="nil"/>
            </w:tcBorders>
            <w:shd w:val="clear" w:color="auto" w:fill="BFBFBF" w:themeFill="background1" w:themeFillShade="BF"/>
            <w:vAlign w:val="center"/>
          </w:tcPr>
          <w:p w14:paraId="0ACABA63" w14:textId="0F5F7E03" w:rsidR="00613C12" w:rsidRPr="00E432C0" w:rsidRDefault="00613C12"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rates (EUR per participant)</w:t>
            </w:r>
          </w:p>
        </w:tc>
      </w:tr>
      <w:tr w:rsidR="004C15B3" w:rsidRPr="00894694" w14:paraId="4C3F9131" w14:textId="7B600895" w:rsidTr="003808AE">
        <w:trPr>
          <w:trHeight w:val="584"/>
          <w:jc w:val="center"/>
        </w:trPr>
        <w:tc>
          <w:tcPr>
            <w:tcW w:w="2343" w:type="pct"/>
            <w:shd w:val="clear" w:color="auto" w:fill="BFBFBF" w:themeFill="background1" w:themeFillShade="BF"/>
            <w:vAlign w:val="center"/>
          </w:tcPr>
          <w:p w14:paraId="4C3F912F" w14:textId="2C8006CC"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distances</w:t>
            </w:r>
            <w:r w:rsidR="00613C12" w:rsidRPr="00E432C0">
              <w:rPr>
                <w:rStyle w:val="Voetnootmarkering"/>
                <w:rFonts w:ascii="Times New Roman" w:eastAsia="Times New Roman" w:hAnsi="Times New Roman" w:cs="Times New Roman"/>
                <w:b/>
                <w:bCs/>
                <w:color w:val="000000"/>
                <w:sz w:val="18"/>
                <w:szCs w:val="18"/>
                <w:lang w:eastAsia="en-GB"/>
              </w:rPr>
              <w:footnoteReference w:id="1"/>
            </w:r>
          </w:p>
        </w:tc>
        <w:tc>
          <w:tcPr>
            <w:tcW w:w="1329" w:type="pct"/>
            <w:shd w:val="clear" w:color="auto" w:fill="BFBFBF" w:themeFill="background1" w:themeFillShade="BF"/>
            <w:vAlign w:val="center"/>
          </w:tcPr>
          <w:p w14:paraId="4C3F9130" w14:textId="7F8F0120"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(standard)</w:t>
            </w:r>
          </w:p>
        </w:tc>
        <w:tc>
          <w:tcPr>
            <w:tcW w:w="1328" w:type="pct"/>
            <w:shd w:val="clear" w:color="auto" w:fill="BFBFBF" w:themeFill="background1" w:themeFillShade="BF"/>
          </w:tcPr>
          <w:p w14:paraId="2E3642A0" w14:textId="76399D30" w:rsidR="004C15B3" w:rsidRPr="00E432C0" w:rsidRDefault="004C15B3" w:rsidP="004C15B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(green traveling)</w:t>
            </w:r>
          </w:p>
        </w:tc>
      </w:tr>
      <w:tr w:rsidR="004C15B3" w:rsidRPr="006711D2" w14:paraId="4C3F9134" w14:textId="72A6CFC2" w:rsidTr="00B44A05">
        <w:trPr>
          <w:trHeight w:val="236"/>
          <w:jc w:val="center"/>
        </w:trPr>
        <w:tc>
          <w:tcPr>
            <w:tcW w:w="2343" w:type="pct"/>
            <w:vAlign w:val="center"/>
          </w:tcPr>
          <w:p w14:paraId="4C3F9132" w14:textId="31321C46" w:rsidR="004C15B3" w:rsidRPr="006711D2" w:rsidRDefault="004C15B3" w:rsidP="00881FFE">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0 and 99 KM</w:t>
            </w:r>
          </w:p>
        </w:tc>
        <w:tc>
          <w:tcPr>
            <w:tcW w:w="1329" w:type="pct"/>
            <w:vAlign w:val="center"/>
          </w:tcPr>
          <w:p w14:paraId="4C3F9133" w14:textId="7B964974"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47D4B4D" w14:textId="4F8CF26F" w:rsidR="004C15B3" w:rsidRPr="006711D2" w:rsidDel="004C15B3"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56</w:t>
            </w:r>
          </w:p>
        </w:tc>
      </w:tr>
      <w:tr w:rsidR="004C15B3" w:rsidRPr="006711D2" w14:paraId="4C3F9137" w14:textId="55BE8C55" w:rsidTr="00B44A05">
        <w:trPr>
          <w:trHeight w:val="236"/>
          <w:jc w:val="center"/>
        </w:trPr>
        <w:tc>
          <w:tcPr>
            <w:tcW w:w="2343" w:type="pct"/>
            <w:vAlign w:val="center"/>
          </w:tcPr>
          <w:p w14:paraId="4C3F9135" w14:textId="7D276A3B"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100 and 499 KM</w:t>
            </w:r>
          </w:p>
        </w:tc>
        <w:tc>
          <w:tcPr>
            <w:tcW w:w="1329" w:type="pct"/>
            <w:vAlign w:val="center"/>
          </w:tcPr>
          <w:p w14:paraId="4C3F9136" w14:textId="6D3D599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211</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A1A7E09" w14:textId="65A240A8"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285</w:t>
            </w:r>
          </w:p>
        </w:tc>
      </w:tr>
      <w:tr w:rsidR="004C15B3" w:rsidRPr="006711D2" w14:paraId="4C3F913A" w14:textId="3561DAFD" w:rsidTr="00B44A05">
        <w:trPr>
          <w:trHeight w:val="268"/>
          <w:jc w:val="center"/>
        </w:trPr>
        <w:tc>
          <w:tcPr>
            <w:tcW w:w="2343" w:type="pct"/>
            <w:vAlign w:val="center"/>
          </w:tcPr>
          <w:p w14:paraId="4C3F9138" w14:textId="2163C8DC"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500 and 1 999 KM</w:t>
            </w:r>
          </w:p>
        </w:tc>
        <w:tc>
          <w:tcPr>
            <w:tcW w:w="1329" w:type="pct"/>
            <w:vAlign w:val="center"/>
          </w:tcPr>
          <w:p w14:paraId="4C3F9139" w14:textId="1C97485F"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309</w:t>
            </w:r>
          </w:p>
        </w:tc>
        <w:tc>
          <w:tcPr>
            <w:tcW w:w="1328" w:type="pct"/>
          </w:tcPr>
          <w:p w14:paraId="061AECD6" w14:textId="72C0281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417</w:t>
            </w:r>
          </w:p>
        </w:tc>
      </w:tr>
      <w:tr w:rsidR="004C15B3" w:rsidRPr="006711D2" w14:paraId="4C3F913D" w14:textId="51FC87D0" w:rsidTr="00B44A05">
        <w:trPr>
          <w:trHeight w:val="272"/>
          <w:jc w:val="center"/>
        </w:trPr>
        <w:tc>
          <w:tcPr>
            <w:tcW w:w="2343" w:type="pct"/>
            <w:vAlign w:val="center"/>
          </w:tcPr>
          <w:p w14:paraId="4C3F913B" w14:textId="5FCF96CA"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2 000 and 2 999 KM</w:t>
            </w:r>
          </w:p>
        </w:tc>
        <w:tc>
          <w:tcPr>
            <w:tcW w:w="1329" w:type="pct"/>
            <w:vAlign w:val="center"/>
          </w:tcPr>
          <w:p w14:paraId="4C3F913C" w14:textId="50CF1AC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395</w:t>
            </w:r>
          </w:p>
        </w:tc>
        <w:tc>
          <w:tcPr>
            <w:tcW w:w="1328" w:type="pct"/>
          </w:tcPr>
          <w:p w14:paraId="5FF307A2" w14:textId="34431A16"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535</w:t>
            </w:r>
          </w:p>
        </w:tc>
      </w:tr>
      <w:tr w:rsidR="004C15B3" w:rsidRPr="006711D2" w14:paraId="4C3F9140" w14:textId="0978C039" w:rsidTr="00B44A05">
        <w:trPr>
          <w:trHeight w:val="262"/>
          <w:jc w:val="center"/>
        </w:trPr>
        <w:tc>
          <w:tcPr>
            <w:tcW w:w="2343" w:type="pct"/>
            <w:vAlign w:val="center"/>
          </w:tcPr>
          <w:p w14:paraId="4C3F913E" w14:textId="47F18FE9"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3 000 and 3 999 KM</w:t>
            </w:r>
          </w:p>
        </w:tc>
        <w:tc>
          <w:tcPr>
            <w:tcW w:w="1329" w:type="pct"/>
            <w:vAlign w:val="center"/>
          </w:tcPr>
          <w:p w14:paraId="4C3F913F" w14:textId="0D4C970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580</w:t>
            </w:r>
          </w:p>
        </w:tc>
        <w:tc>
          <w:tcPr>
            <w:tcW w:w="1328" w:type="pct"/>
          </w:tcPr>
          <w:p w14:paraId="78731389" w14:textId="4E49F979"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785</w:t>
            </w:r>
          </w:p>
        </w:tc>
      </w:tr>
      <w:tr w:rsidR="004C15B3" w:rsidRPr="006711D2" w14:paraId="4C3F9143" w14:textId="71C15DE3" w:rsidTr="00B44A05">
        <w:trPr>
          <w:trHeight w:val="280"/>
          <w:jc w:val="center"/>
        </w:trPr>
        <w:tc>
          <w:tcPr>
            <w:tcW w:w="2343" w:type="pct"/>
            <w:vAlign w:val="center"/>
          </w:tcPr>
          <w:p w14:paraId="4C3F9141" w14:textId="17B3D760"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4 000 and 7 999 KM</w:t>
            </w:r>
          </w:p>
        </w:tc>
        <w:tc>
          <w:tcPr>
            <w:tcW w:w="1329" w:type="pct"/>
            <w:vAlign w:val="center"/>
          </w:tcPr>
          <w:p w14:paraId="4C3F9142" w14:textId="06F47752"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c>
          <w:tcPr>
            <w:tcW w:w="1328" w:type="pct"/>
          </w:tcPr>
          <w:p w14:paraId="223BB5B1" w14:textId="6B92288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r>
      <w:tr w:rsidR="004C15B3" w:rsidRPr="00894694" w14:paraId="4C3F9146" w14:textId="67B61440" w:rsidTr="00B44A05">
        <w:trPr>
          <w:trHeight w:val="270"/>
          <w:jc w:val="center"/>
        </w:trPr>
        <w:tc>
          <w:tcPr>
            <w:tcW w:w="2343" w:type="pct"/>
            <w:vAlign w:val="center"/>
          </w:tcPr>
          <w:p w14:paraId="4C3F9144" w14:textId="4668C13E"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8 000 KM or more</w:t>
            </w:r>
          </w:p>
        </w:tc>
        <w:tc>
          <w:tcPr>
            <w:tcW w:w="1329" w:type="pct"/>
            <w:vAlign w:val="center"/>
          </w:tcPr>
          <w:p w14:paraId="4C3F9145" w14:textId="6129B58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c>
          <w:tcPr>
            <w:tcW w:w="1328" w:type="pct"/>
          </w:tcPr>
          <w:p w14:paraId="4F33C9FE" w14:textId="1826113A"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r>
    </w:tbl>
    <w:p w14:paraId="0D16DB0F" w14:textId="77777777" w:rsidR="00A55CB7" w:rsidRPr="00E432C0" w:rsidRDefault="00A55CB7" w:rsidP="00AD34F3">
      <w:pPr>
        <w:spacing w:after="120" w:line="240" w:lineRule="auto"/>
        <w:jc w:val="both"/>
        <w:rPr>
          <w:rFonts w:ascii="Times New Roman" w:hAnsi="Times New Roman"/>
        </w:rPr>
      </w:pPr>
    </w:p>
    <w:p w14:paraId="353C5906" w14:textId="2A3DEAA3" w:rsidR="008A67BF" w:rsidRPr="00E432C0" w:rsidRDefault="0017299B" w:rsidP="009F1A33">
      <w:pPr>
        <w:pStyle w:val="Kop2"/>
        <w:rPr>
          <w:szCs w:val="24"/>
        </w:rPr>
      </w:pPr>
      <w:r w:rsidRPr="00E432C0">
        <w:t>M</w:t>
      </w:r>
      <w:r w:rsidR="00AD34F3" w:rsidRPr="00E432C0">
        <w:t>anagement costs:</w:t>
      </w:r>
      <w:r w:rsidR="00AD34F3" w:rsidRPr="00E432C0">
        <w:rPr>
          <w:rFonts w:cs="Times New Roman"/>
          <w:szCs w:val="24"/>
        </w:rPr>
        <w:t xml:space="preserve"> </w:t>
      </w:r>
    </w:p>
    <w:p w14:paraId="025E65E4" w14:textId="7361199A" w:rsidR="00AD34F3" w:rsidRPr="00E432C0" w:rsidRDefault="008A67BF"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 xml:space="preserve">These are management costs such as planning, finances, coordination and communication between partners, administrative costs. </w:t>
      </w:r>
      <w:r w:rsidRPr="006711D2">
        <w:rPr>
          <w:rFonts w:ascii="Times New Roman" w:hAnsi="Times New Roman"/>
          <w:sz w:val="24"/>
          <w:szCs w:val="24"/>
        </w:rPr>
        <w:t xml:space="preserve">Management costs </w:t>
      </w:r>
      <w:r w:rsidR="00AD34F3" w:rsidRPr="006711D2">
        <w:rPr>
          <w:rFonts w:ascii="Times New Roman" w:hAnsi="Times New Roman"/>
          <w:sz w:val="24"/>
          <w:szCs w:val="24"/>
        </w:rPr>
        <w:t>amount to EUR </w:t>
      </w:r>
      <w:r w:rsidR="006711D2">
        <w:rPr>
          <w:rFonts w:ascii="Times New Roman" w:hAnsi="Times New Roman"/>
          <w:sz w:val="24"/>
          <w:szCs w:val="24"/>
        </w:rPr>
        <w:t>238</w:t>
      </w:r>
      <w:r w:rsidR="00AD34F3" w:rsidRPr="006711D2">
        <w:rPr>
          <w:rFonts w:ascii="Times New Roman" w:hAnsi="Times New Roman"/>
          <w:sz w:val="24"/>
          <w:szCs w:val="24"/>
        </w:rPr>
        <w:t xml:space="preserve"> per participant. For </w:t>
      </w:r>
      <w:r w:rsidR="0089205D" w:rsidRPr="006711D2">
        <w:rPr>
          <w:rFonts w:ascii="Times New Roman" w:hAnsi="Times New Roman"/>
          <w:sz w:val="24"/>
          <w:szCs w:val="24"/>
        </w:rPr>
        <w:t>V</w:t>
      </w:r>
      <w:r w:rsidR="00AD34F3" w:rsidRPr="006711D2">
        <w:rPr>
          <w:rFonts w:ascii="Times New Roman" w:hAnsi="Times New Roman"/>
          <w:sz w:val="24"/>
          <w:szCs w:val="24"/>
        </w:rPr>
        <w:t xml:space="preserve">olunteering </w:t>
      </w:r>
      <w:r w:rsidR="0089205D" w:rsidRPr="006711D2">
        <w:rPr>
          <w:rFonts w:ascii="Times New Roman" w:hAnsi="Times New Roman"/>
          <w:sz w:val="24"/>
          <w:szCs w:val="24"/>
        </w:rPr>
        <w:t>T</w:t>
      </w:r>
      <w:r w:rsidR="00AD34F3" w:rsidRPr="006711D2">
        <w:rPr>
          <w:rFonts w:ascii="Times New Roman" w:hAnsi="Times New Roman"/>
          <w:sz w:val="24"/>
          <w:szCs w:val="24"/>
        </w:rPr>
        <w:t>eam activities, this amount is fixed at EUR </w:t>
      </w:r>
      <w:r w:rsidR="006711D2">
        <w:rPr>
          <w:rFonts w:ascii="Times New Roman" w:hAnsi="Times New Roman"/>
          <w:sz w:val="24"/>
          <w:szCs w:val="24"/>
        </w:rPr>
        <w:t>125 per participant</w:t>
      </w:r>
      <w:r w:rsidR="00AD34F3" w:rsidRPr="006711D2">
        <w:rPr>
          <w:rFonts w:ascii="Times New Roman" w:hAnsi="Times New Roman"/>
          <w:sz w:val="24"/>
          <w:szCs w:val="24"/>
        </w:rPr>
        <w:t>.</w:t>
      </w:r>
    </w:p>
    <w:p w14:paraId="4699368E" w14:textId="77777777" w:rsidR="0017299B" w:rsidRPr="00E432C0" w:rsidRDefault="0017299B" w:rsidP="009F1A33">
      <w:pPr>
        <w:pStyle w:val="Kop2"/>
      </w:pPr>
      <w:r w:rsidRPr="00E432C0">
        <w:t xml:space="preserve">Organisational support: </w:t>
      </w:r>
    </w:p>
    <w:p w14:paraId="6E0BDCA8" w14:textId="56BF5ED0" w:rsidR="00AD34F3" w:rsidRPr="00E432C0" w:rsidRDefault="0017299B"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T</w:t>
      </w:r>
      <w:r w:rsidR="00AD34F3" w:rsidRPr="00E432C0">
        <w:rPr>
          <w:rFonts w:ascii="Times New Roman" w:hAnsi="Times New Roman"/>
          <w:sz w:val="24"/>
          <w:szCs w:val="24"/>
        </w:rPr>
        <w:t xml:space="preserve">hese </w:t>
      </w:r>
      <w:r w:rsidRPr="00E432C0">
        <w:rPr>
          <w:rFonts w:ascii="Times New Roman" w:hAnsi="Times New Roman"/>
          <w:sz w:val="24"/>
          <w:szCs w:val="24"/>
        </w:rPr>
        <w:t xml:space="preserve">are costs directly linked to the implementation of volunteering activities (e.g. preparation, monitoring and support of participants, validation of learning outcomes) and costs linked to the subsistence of participants (e.g. boarding, lodging and local travel). </w:t>
      </w:r>
      <w:r w:rsidR="00AD34F3" w:rsidRPr="00E432C0">
        <w:rPr>
          <w:rFonts w:ascii="Times New Roman" w:hAnsi="Times New Roman"/>
          <w:sz w:val="24"/>
          <w:szCs w:val="24"/>
        </w:rPr>
        <w:t>They are set as daily rates per participant, which are detailed in the following table:</w:t>
      </w:r>
    </w:p>
    <w:p w14:paraId="477AC005" w14:textId="77777777" w:rsidR="00016B01" w:rsidRPr="00E432C0" w:rsidRDefault="00016B01">
      <w:pPr>
        <w:rPr>
          <w:rFonts w:ascii="Times New Roman" w:hAnsi="Times New Roman" w:cs="Times New Roman"/>
          <w:sz w:val="24"/>
          <w:szCs w:val="24"/>
          <w:u w:val="single"/>
        </w:rPr>
      </w:pPr>
      <w:r w:rsidRPr="00E432C0">
        <w:rPr>
          <w:rFonts w:ascii="Times New Roman" w:hAnsi="Times New Roman" w:cs="Times New Roman"/>
          <w:sz w:val="24"/>
          <w:szCs w:val="24"/>
          <w:u w:val="single"/>
        </w:rPr>
        <w:br w:type="page"/>
      </w:r>
    </w:p>
    <w:p w14:paraId="6BE5AC94" w14:textId="512EECC6" w:rsidR="00AD34F3" w:rsidRPr="00E432C0" w:rsidRDefault="00AD34F3" w:rsidP="0031107B">
      <w:pPr>
        <w:spacing w:after="120" w:line="240" w:lineRule="auto"/>
        <w:jc w:val="center"/>
        <w:rPr>
          <w:rFonts w:ascii="Times New Roman" w:hAnsi="Times New Roman" w:cs="Times New Roman"/>
          <w:u w:val="single"/>
        </w:rPr>
      </w:pPr>
      <w:r w:rsidRPr="00E432C0">
        <w:rPr>
          <w:rFonts w:ascii="Times New Roman" w:hAnsi="Times New Roman" w:cs="Times New Roman"/>
          <w:u w:val="single"/>
        </w:rPr>
        <w:lastRenderedPageBreak/>
        <w:t>Table 2 – Organisational Support – Activity Costs</w:t>
      </w:r>
    </w:p>
    <w:p w14:paraId="103E54CE" w14:textId="77777777" w:rsidR="00A55CB7" w:rsidRPr="00E432C0" w:rsidRDefault="00A55CB7" w:rsidP="00AD34F3">
      <w:pPr>
        <w:spacing w:after="120" w:line="240" w:lineRule="auto"/>
        <w:jc w:val="both"/>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A46EBA" w:rsidRPr="00894694" w14:paraId="6CA0D3CF" w14:textId="77777777" w:rsidTr="00B44A05">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301A78EA" w14:textId="757060B5" w:rsidR="00A46EBA" w:rsidRPr="00E432C0" w:rsidRDefault="00A46EBA" w:rsidP="009F1A33">
            <w:pPr>
              <w:spacing w:after="0" w:line="240" w:lineRule="auto"/>
              <w:jc w:val="center"/>
              <w:rPr>
                <w:rFonts w:ascii="Times New Roman" w:eastAsia="Times New Roman" w:hAnsi="Times New Roman" w:cs="Times New Roman"/>
                <w:b/>
                <w:bCs/>
                <w:color w:val="000000"/>
                <w:sz w:val="18"/>
                <w:szCs w:val="18"/>
                <w:lang w:eastAsia="en-GB"/>
              </w:rPr>
            </w:pPr>
            <w:bookmarkStart w:id="0" w:name="_Hlk164169258"/>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036F7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Organisational Support – Activity Costs</w:t>
            </w:r>
          </w:p>
          <w:p w14:paraId="67C1EA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p w14:paraId="68C2A595" w14:textId="77777777" w:rsidR="009F1A33" w:rsidRDefault="009F1A33" w:rsidP="00AD34F3">
            <w:pPr>
              <w:spacing w:after="0" w:line="240" w:lineRule="auto"/>
              <w:jc w:val="center"/>
              <w:rPr>
                <w:rFonts w:ascii="Times New Roman" w:eastAsia="Times New Roman" w:hAnsi="Times New Roman" w:cs="Times New Roman"/>
                <w:b/>
                <w:bCs/>
                <w:color w:val="000000"/>
                <w:sz w:val="18"/>
                <w:szCs w:val="18"/>
                <w:lang w:eastAsia="en-GB"/>
              </w:rPr>
            </w:pPr>
          </w:p>
          <w:p w14:paraId="029D6E65" w14:textId="10A6C43A" w:rsidR="00A46EBA" w:rsidRPr="00E432C0" w:rsidRDefault="00A46EBA" w:rsidP="00AD34F3">
            <w:pPr>
              <w:spacing w:after="0" w:line="240" w:lineRule="auto"/>
              <w:jc w:val="center"/>
              <w:rPr>
                <w:rFonts w:ascii="Times New Roman" w:eastAsia="Times New Roman" w:hAnsi="Times New Roman" w:cs="Times New Roman"/>
                <w:b/>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tc>
      </w:tr>
      <w:tr w:rsidR="009F1A33" w:rsidRPr="00894694" w14:paraId="3060318E" w14:textId="77777777" w:rsidTr="00C640A9">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0AE05087" w14:textId="43EBE5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35</w:t>
            </w:r>
          </w:p>
        </w:tc>
      </w:tr>
      <w:tr w:rsidR="009F1A33" w:rsidRPr="00894694" w14:paraId="1D734D1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16339C3D" w14:textId="4BD3BBC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FAE4C8B"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11967393" w14:textId="14D8A18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67B3B3AB"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6B05358C" w14:textId="55B9B4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40</w:t>
            </w:r>
          </w:p>
        </w:tc>
      </w:tr>
      <w:tr w:rsidR="009F1A33" w:rsidRPr="00894694" w14:paraId="2EADCDD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5320C660" w14:textId="504001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5447305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428CF95A"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33CBD3AF" w14:textId="3546D1A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65F52DA3"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55978D91" w14:textId="78E6CD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55</w:t>
            </w:r>
          </w:p>
        </w:tc>
      </w:tr>
      <w:tr w:rsidR="009F1A33" w:rsidRPr="00894694" w14:paraId="78C3E772"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2463F92C" w14:textId="49736B7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AAFE7F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3965F551" w14:textId="6BEEEDF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9EC12A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5E484389" w14:textId="482C74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6E924CD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7D2B0BC0" w14:textId="6C84D73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33</w:t>
            </w:r>
          </w:p>
        </w:tc>
      </w:tr>
      <w:tr w:rsidR="009F1A33" w:rsidRPr="00894694" w14:paraId="7DC66CA2"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3859A63D" w14:textId="3F40D53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0259D22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5368394C" w14:textId="354135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43680CEE"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05AFA82A" w14:textId="21B39C1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52</w:t>
            </w:r>
          </w:p>
        </w:tc>
      </w:tr>
      <w:tr w:rsidR="009F1A33" w:rsidRPr="00894694" w14:paraId="2F51FA9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620E6DEF" w14:textId="0276D03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784BF0A5"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7905DC5F" w14:textId="231F26A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70BE293"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21C88681" w14:textId="7D1B7A0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26</w:t>
            </w:r>
          </w:p>
        </w:tc>
      </w:tr>
      <w:tr w:rsidR="009F1A33" w:rsidRPr="00894694" w14:paraId="3AB334F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4DBE4912" w14:textId="2224BAA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37</w:t>
            </w:r>
          </w:p>
        </w:tc>
      </w:tr>
      <w:tr w:rsidR="009F1A33" w:rsidRPr="00894694" w14:paraId="7052E241"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1DB6B605" w14:textId="7619725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tr w:rsidR="009F1A33" w:rsidRPr="00894694" w14:paraId="3E99BD06"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4E1D5021" w14:textId="4944F72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513DAB00"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22972454" w14:textId="75CA9B2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0B6D0F0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3F55E3A5" w14:textId="78AF67B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27</w:t>
            </w:r>
          </w:p>
        </w:tc>
      </w:tr>
      <w:tr w:rsidR="009F1A33" w:rsidRPr="00894694" w14:paraId="480F32FF"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45661D40" w14:textId="7C2B6A3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23</w:t>
            </w:r>
          </w:p>
        </w:tc>
      </w:tr>
      <w:tr w:rsidR="009F1A33" w:rsidRPr="00894694" w14:paraId="1D7875AA"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2B34A85F" w14:textId="2897A95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59AB8956"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7FF30154" w14:textId="5D490A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26</w:t>
            </w:r>
          </w:p>
        </w:tc>
      </w:tr>
      <w:tr w:rsidR="009F1A33" w:rsidRPr="00894694" w14:paraId="5717713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07961974" w14:textId="561F40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25</w:t>
            </w:r>
          </w:p>
        </w:tc>
      </w:tr>
      <w:tr w:rsidR="009F1A33" w:rsidRPr="00894694" w14:paraId="3483C5F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31375757" w14:textId="07F6156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35</w:t>
            </w:r>
          </w:p>
        </w:tc>
      </w:tr>
      <w:tr w:rsidR="009F1A33" w:rsidRPr="00894694" w14:paraId="26F93F2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020B24FB"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6C60B54F" w14:textId="06A082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20</w:t>
            </w:r>
          </w:p>
        </w:tc>
      </w:tr>
      <w:tr w:rsidR="009F1A33" w:rsidRPr="00894694" w14:paraId="4F22F55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70F8E2AD" w14:textId="56BE90B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7F86F3F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2B1A4183" w14:textId="67C320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34</w:t>
            </w:r>
          </w:p>
        </w:tc>
      </w:tr>
      <w:tr w:rsidR="009F1A33" w:rsidRPr="00894694" w14:paraId="6F700BE0"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1466DF65" w14:textId="43BF4B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667E16B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1CB171C0"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4ECE24FB" w14:textId="5E65A0E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3258547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23758685"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772BF2EB" w14:textId="7BDA82B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bookmarkEnd w:id="0"/>
    </w:tbl>
    <w:p w14:paraId="72D654BC" w14:textId="77777777" w:rsidR="00016B01" w:rsidRPr="00E432C0" w:rsidRDefault="00016B01">
      <w:pPr>
        <w:rPr>
          <w:rFonts w:ascii="Times New Roman" w:hAnsi="Times New Roman" w:cs="Times New Roman"/>
          <w:u w:val="single"/>
        </w:rPr>
      </w:pPr>
      <w:r w:rsidRPr="00E432C0">
        <w:rPr>
          <w:rFonts w:ascii="Times New Roman" w:hAnsi="Times New Roman" w:cs="Times New Roman"/>
          <w:u w:val="single"/>
        </w:rPr>
        <w:br w:type="page"/>
      </w:r>
    </w:p>
    <w:p w14:paraId="4C3F91FF" w14:textId="00151D75" w:rsidR="008E179D" w:rsidRPr="00E432C0" w:rsidRDefault="00016B01" w:rsidP="009F1A33">
      <w:pPr>
        <w:pStyle w:val="Kop2"/>
      </w:pPr>
      <w:r w:rsidRPr="00E432C0">
        <w:lastRenderedPageBreak/>
        <w:t>Inclusion</w:t>
      </w:r>
      <w:r w:rsidR="008E179D" w:rsidRPr="00E432C0">
        <w:t xml:space="preserve"> support</w:t>
      </w:r>
    </w:p>
    <w:p w14:paraId="251AD1E7" w14:textId="2B72A22D" w:rsidR="00016B01" w:rsidRPr="00E432C0" w:rsidRDefault="00F34B61" w:rsidP="0031107B">
      <w:pPr>
        <w:spacing w:after="120" w:line="240" w:lineRule="auto"/>
        <w:ind w:left="360"/>
        <w:jc w:val="both"/>
        <w:rPr>
          <w:rFonts w:ascii="Times New Roman" w:hAnsi="Times New Roman" w:cs="Times New Roman"/>
          <w:sz w:val="24"/>
          <w:szCs w:val="24"/>
        </w:rPr>
      </w:pPr>
      <w:r w:rsidRPr="00E432C0">
        <w:rPr>
          <w:rFonts w:ascii="Times New Roman" w:hAnsi="Times New Roman" w:cs="Times New Roman"/>
          <w:sz w:val="24"/>
          <w:szCs w:val="24"/>
        </w:rPr>
        <w:t>The following rates</w:t>
      </w:r>
      <w:r w:rsidR="008C3400" w:rsidRPr="00E432C0">
        <w:rPr>
          <w:rFonts w:ascii="Times New Roman" w:hAnsi="Times New Roman" w:cs="Times New Roman"/>
          <w:sz w:val="24"/>
          <w:szCs w:val="24"/>
        </w:rPr>
        <w:t xml:space="preserve"> </w:t>
      </w:r>
      <w:r w:rsidR="008C3400" w:rsidRPr="00E432C0">
        <w:rPr>
          <w:rFonts w:ascii="Times New Roman" w:hAnsi="Times New Roman"/>
          <w:sz w:val="24"/>
          <w:szCs w:val="24"/>
        </w:rPr>
        <w:t>(set as daily rates per participant)</w:t>
      </w:r>
      <w:r w:rsidRPr="00E432C0">
        <w:rPr>
          <w:rFonts w:ascii="Times New Roman" w:hAnsi="Times New Roman" w:cs="Times New Roman"/>
          <w:sz w:val="24"/>
          <w:szCs w:val="24"/>
        </w:rPr>
        <w:t xml:space="preserve"> are to be used for activities which include the participation of young people with fewer opportunities.</w:t>
      </w:r>
    </w:p>
    <w:p w14:paraId="0B141062" w14:textId="77777777" w:rsidR="00A55CB7" w:rsidRPr="00E432C0" w:rsidRDefault="00A55CB7" w:rsidP="0031107B">
      <w:pPr>
        <w:spacing w:after="120" w:line="240" w:lineRule="auto"/>
        <w:ind w:left="360"/>
        <w:jc w:val="both"/>
        <w:rPr>
          <w:rFonts w:ascii="Times New Roman" w:hAnsi="Times New Roman"/>
          <w:sz w:val="24"/>
          <w:szCs w:val="24"/>
        </w:rPr>
      </w:pPr>
    </w:p>
    <w:p w14:paraId="76F6EE02" w14:textId="6EAF1789" w:rsidR="00F34B61" w:rsidRDefault="00F34B61" w:rsidP="0031107B">
      <w:pPr>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3</w:t>
      </w:r>
      <w:r w:rsidRPr="00E432C0">
        <w:rPr>
          <w:rFonts w:ascii="Times New Roman" w:hAnsi="Times New Roman" w:cs="Times New Roman"/>
          <w:u w:val="single"/>
        </w:rPr>
        <w:t xml:space="preserve"> – Inclusion Support </w:t>
      </w:r>
    </w:p>
    <w:tbl>
      <w:tblPr>
        <w:tblW w:w="5671" w:type="dxa"/>
        <w:jc w:val="center"/>
        <w:tblLook w:val="04A0" w:firstRow="1" w:lastRow="0" w:firstColumn="1" w:lastColumn="0" w:noHBand="0" w:noVBand="1"/>
      </w:tblPr>
      <w:tblGrid>
        <w:gridCol w:w="3600"/>
        <w:gridCol w:w="2071"/>
      </w:tblGrid>
      <w:tr w:rsidR="009F1A33" w:rsidRPr="00894694" w14:paraId="2E23362B" w14:textId="77777777" w:rsidTr="00F82D97">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2B5DFC9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AF26EDD"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Inclusion Support</w:t>
            </w:r>
          </w:p>
          <w:p w14:paraId="6CA2F481"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(EUR per day)</w:t>
            </w:r>
          </w:p>
          <w:p w14:paraId="4FB00100" w14:textId="7C7CB223" w:rsidR="009F1A33" w:rsidRPr="00E432C0" w:rsidRDefault="009F1A33" w:rsidP="00C640A9">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693B73F9" w14:textId="77777777" w:rsidTr="00F82D97">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7E1C8F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4BE69DAB" w14:textId="24EF109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7CA51D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8DD02E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41C543E4" w14:textId="023E066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36A2936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7B2F1B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66F09575" w14:textId="296BE02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014997B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FCBCF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1BEA2992" w14:textId="0FB043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4C7A086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F4DFA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6D901B73" w14:textId="776C88C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C284D7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A25555" w14:textId="38A3A990"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6EB04A89" w14:textId="27D0DB1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95AC55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3203E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66CBF3F4" w14:textId="495F939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19</w:t>
            </w:r>
          </w:p>
        </w:tc>
      </w:tr>
      <w:tr w:rsidR="009F1A33" w:rsidRPr="00894694" w14:paraId="45FAD0B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A514B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4BBA5279" w14:textId="171974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1744363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26A1E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5F1DDA15" w14:textId="2A58E0F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6D7AFB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EDFB21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56C10B34" w14:textId="769999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720A6B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B7CF9E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648C5834" w14:textId="4FAE33D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D0BEE1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AA7D26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533FAE3B" w14:textId="67F59A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36E9F26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DB9CE5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3C2D74E3" w14:textId="5452589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A3CC2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805D76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2326414C" w14:textId="1261C3F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18</w:t>
            </w:r>
          </w:p>
        </w:tc>
      </w:tr>
      <w:tr w:rsidR="009F1A33" w:rsidRPr="00894694" w14:paraId="17E3811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FDB38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7805F70C" w14:textId="2707A4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5DDAD9DD"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DD3C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7B5A9A35" w14:textId="22229F8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AB464D2"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FE4E1C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7AB7729A" w14:textId="402C13C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4317E7B3"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8CB54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2212B78A" w14:textId="6A48FF2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56B0C8A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7208B3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0689272E" w14:textId="7346E73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31716A5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70EB0A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699C6F94" w14:textId="754034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0287E33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70962D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6E20FC9C" w14:textId="4E0875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39C5C9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244FE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36194C99" w14:textId="510FD3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6BCB0A4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09963A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3791B49F" w14:textId="69D0B0D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9C2FB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7555F4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51358781" w14:textId="3516B54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7005512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E031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22CEBBBF" w14:textId="1BC56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7B8D60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706F2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0094CE3E" w14:textId="7B99A6F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592DA14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F772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07E43764" w14:textId="36B2A3A2"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E70B7E0"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69162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528D3680" w14:textId="6BF453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51CAC2B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4ACB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715B2C98" w14:textId="7ADE29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38B16EA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A9DF93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496EBF65" w14:textId="2F4D116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11</w:t>
            </w:r>
          </w:p>
        </w:tc>
      </w:tr>
      <w:tr w:rsidR="009F1A33" w:rsidRPr="00894694" w14:paraId="3B95A23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F5BF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3EA78492" w14:textId="4FD7E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72CB7BB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CF5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32DA1103" w14:textId="7FD3F47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01BFD1D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3566E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25C7EC45" w14:textId="0E1611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9</w:t>
            </w:r>
          </w:p>
        </w:tc>
      </w:tr>
    </w:tbl>
    <w:p w14:paraId="0B8DA286" w14:textId="77777777" w:rsidR="009F1A33" w:rsidRDefault="009F1A33" w:rsidP="0031107B">
      <w:pPr>
        <w:jc w:val="center"/>
        <w:rPr>
          <w:rFonts w:ascii="Times New Roman" w:hAnsi="Times New Roman" w:cs="Times New Roman"/>
          <w:u w:val="single"/>
        </w:rPr>
      </w:pPr>
    </w:p>
    <w:p w14:paraId="580BFD9C" w14:textId="77777777" w:rsidR="009F1A33" w:rsidRPr="00E432C0" w:rsidRDefault="009F1A33" w:rsidP="0031107B">
      <w:pPr>
        <w:jc w:val="center"/>
        <w:rPr>
          <w:rFonts w:ascii="Times New Roman" w:hAnsi="Times New Roman" w:cs="Times New Roman"/>
          <w:u w:val="single"/>
        </w:rPr>
      </w:pPr>
    </w:p>
    <w:p w14:paraId="7E1E4FC6" w14:textId="738D4568" w:rsidR="00F34B61" w:rsidRPr="00E432C0" w:rsidRDefault="0089205D" w:rsidP="009F1A33">
      <w:pPr>
        <w:pStyle w:val="Kop2"/>
      </w:pPr>
      <w:r w:rsidRPr="00E432C0">
        <w:lastRenderedPageBreak/>
        <w:t>Pocket Money</w:t>
      </w:r>
    </w:p>
    <w:p w14:paraId="40B54A73" w14:textId="3C16D2E5" w:rsidR="0089205D" w:rsidRDefault="0089205D" w:rsidP="0031107B">
      <w:pPr>
        <w:spacing w:after="120" w:line="240" w:lineRule="auto"/>
        <w:ind w:left="360"/>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4</w:t>
      </w:r>
      <w:r w:rsidRPr="00E432C0">
        <w:rPr>
          <w:rFonts w:ascii="Times New Roman" w:hAnsi="Times New Roman" w:cs="Times New Roman"/>
          <w:u w:val="single"/>
        </w:rPr>
        <w:t xml:space="preserve"> – Pocket Money for volunteers</w:t>
      </w:r>
    </w:p>
    <w:p w14:paraId="5F21F674" w14:textId="77777777" w:rsidR="009F1A33" w:rsidRDefault="009F1A33" w:rsidP="0031107B">
      <w:pPr>
        <w:spacing w:after="120" w:line="240" w:lineRule="auto"/>
        <w:ind w:left="360"/>
        <w:jc w:val="center"/>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9F1A33" w:rsidRPr="00894694" w14:paraId="4DED639F" w14:textId="77777777" w:rsidTr="00F82D97">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143B5352" w14:textId="77777777" w:rsidR="009F1A33" w:rsidRPr="00E432C0" w:rsidRDefault="009F1A33" w:rsidP="00F82D97">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BAE8B7D" w14:textId="77777777" w:rsidR="009F1A33" w:rsidRP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Pocket Money</w:t>
            </w:r>
          </w:p>
          <w:p w14:paraId="0F89DC4A" w14:textId="77777777" w:rsid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(EUR per day)</w:t>
            </w:r>
          </w:p>
          <w:p w14:paraId="30EEA2EE" w14:textId="356219F0" w:rsidR="009F1A33" w:rsidRPr="00E432C0" w:rsidRDefault="009F1A33" w:rsidP="009F1A33">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0D1D7981" w14:textId="77777777" w:rsidTr="00F82D97">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713987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35CCCE92" w14:textId="3B6B0A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16218B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ECB01C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0D0F5CA7" w14:textId="3A566DF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0907CE0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B5BA2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156CC680" w14:textId="708E5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B1D763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77BE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0BE1A902" w14:textId="6EFE6D4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2B5AD38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44CD0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71DC4BF4" w14:textId="49D233E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31F764C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6713CCD" w14:textId="0FAA4304"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51367A1C" w14:textId="5ACECD8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5AC19BF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AE11F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2973CE64" w14:textId="61FECA2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D8484A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89DB3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53AC2140" w14:textId="59AE7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4174A71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FE1731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77097905" w14:textId="1A38E20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2D3D0E0"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33AAA9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6CB04F01" w14:textId="1DB0948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47ED5C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300F06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66145146" w14:textId="03DA80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A9D486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DCFE7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391B6277" w14:textId="50D2AC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892306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EEF35D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29F14935" w14:textId="4777BEF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04B064D"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57911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39662FF8" w14:textId="1F8D9A7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605ED95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93D7D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46F92DCD" w14:textId="54D98CA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7B43237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C44CC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52C218ED" w14:textId="3336F4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5167BDD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B5B27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2A8BD499" w14:textId="7EA0E16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692FE002"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3EB775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4B4D2276" w14:textId="6A92A4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DADC9E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1901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72F149EC" w14:textId="6875BA8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063F07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F27CE2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351BA3B4" w14:textId="3D71DF8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434CF5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0C77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1A54D9D0" w14:textId="0EBA9BD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47168DB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42E2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706AAA5C" w14:textId="2BBFE84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3632254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747C74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27B3C24F" w14:textId="658289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3743F21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CCD8A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3454E0E1" w14:textId="77CE76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234EC4E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4ABAB8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08E06351" w14:textId="2E865F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153320C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FE4F81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2E0F1F5E" w14:textId="48DAEED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119C14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57D650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1698DB17" w14:textId="1141312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1BFF38E3"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184B9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431872F7" w14:textId="60DFD9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20FC49B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36170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1B1F75F0" w14:textId="355F140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1CDE873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A4969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0A313583" w14:textId="78D58C1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3AC069C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FF6B57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569C06DE" w14:textId="667D290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2845E15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2A7168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5F179F44" w14:textId="2935109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r w:rsidR="009F1A33" w:rsidRPr="00894694" w14:paraId="3AD3894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BE214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4B273971" w14:textId="4CB0142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bl>
    <w:p w14:paraId="4DF5ABCF" w14:textId="77777777" w:rsidR="009F1A33" w:rsidRDefault="009F1A33" w:rsidP="0031107B">
      <w:pPr>
        <w:spacing w:after="120" w:line="240" w:lineRule="auto"/>
        <w:ind w:left="360"/>
        <w:jc w:val="center"/>
        <w:rPr>
          <w:rFonts w:ascii="Times New Roman" w:hAnsi="Times New Roman" w:cs="Times New Roman"/>
          <w:u w:val="single"/>
        </w:rPr>
      </w:pPr>
    </w:p>
    <w:p w14:paraId="76771C9A" w14:textId="77777777" w:rsidR="009F1A33" w:rsidRPr="00E432C0" w:rsidRDefault="009F1A33" w:rsidP="0031107B">
      <w:pPr>
        <w:spacing w:after="120" w:line="240" w:lineRule="auto"/>
        <w:ind w:left="360"/>
        <w:jc w:val="center"/>
        <w:rPr>
          <w:rFonts w:ascii="Times New Roman" w:hAnsi="Times New Roman" w:cs="Times New Roman"/>
          <w:u w:val="single"/>
        </w:rPr>
      </w:pPr>
    </w:p>
    <w:p w14:paraId="748EFC0B" w14:textId="77777777" w:rsidR="00894694" w:rsidRPr="00E432C0" w:rsidRDefault="00894694" w:rsidP="00E432C0">
      <w:pPr>
        <w:ind w:left="360"/>
        <w:jc w:val="both"/>
        <w:rPr>
          <w:rFonts w:cs="Times New Roman"/>
          <w:snapToGrid w:val="0"/>
          <w:szCs w:val="24"/>
        </w:rPr>
      </w:pPr>
    </w:p>
    <w:p w14:paraId="64F1C690" w14:textId="548B06C1" w:rsidR="00613C12" w:rsidRPr="00E432C0" w:rsidRDefault="00613C12" w:rsidP="009F1A33">
      <w:pPr>
        <w:pStyle w:val="Kop2"/>
      </w:pPr>
      <w:r w:rsidRPr="00E432C0">
        <w:lastRenderedPageBreak/>
        <w:t xml:space="preserve">Language learning support: </w:t>
      </w:r>
    </w:p>
    <w:p w14:paraId="2648531F" w14:textId="2204BCD8" w:rsidR="00613C12" w:rsidRPr="00E432C0" w:rsidRDefault="00613C12" w:rsidP="00E432C0">
      <w:pPr>
        <w:spacing w:after="120" w:line="240" w:lineRule="auto"/>
        <w:ind w:left="360"/>
        <w:jc w:val="both"/>
        <w:rPr>
          <w:szCs w:val="24"/>
        </w:rPr>
      </w:pPr>
      <w:r w:rsidRPr="00E432C0">
        <w:rPr>
          <w:rFonts w:ascii="Times New Roman" w:hAnsi="Times New Roman" w:cs="Times New Roman"/>
          <w:sz w:val="24"/>
          <w:szCs w:val="24"/>
        </w:rPr>
        <w:t>This rate is applicable only for languages and/or levels not offered by the Online Language Support</w:t>
      </w:r>
      <w:r w:rsidRPr="00E432C0">
        <w:rPr>
          <w:rFonts w:ascii="Times New Roman" w:hAnsi="Times New Roman"/>
          <w:sz w:val="24"/>
          <w:szCs w:val="24"/>
        </w:rPr>
        <w:t xml:space="preserve">: EUR 150 per participant. </w:t>
      </w:r>
    </w:p>
    <w:p w14:paraId="40505335" w14:textId="2E0C3B36" w:rsidR="00611637" w:rsidRPr="00E432C0" w:rsidRDefault="00611637" w:rsidP="009F1A33">
      <w:pPr>
        <w:pStyle w:val="Kop2"/>
      </w:pPr>
      <w:r w:rsidRPr="00E432C0">
        <w:t>Preparatory Visit</w:t>
      </w:r>
    </w:p>
    <w:p w14:paraId="53EC1794" w14:textId="61D34548" w:rsidR="00611637" w:rsidRPr="00E432C0" w:rsidRDefault="00611637" w:rsidP="002579C2">
      <w:pPr>
        <w:ind w:left="360"/>
        <w:jc w:val="both"/>
        <w:rPr>
          <w:rFonts w:cs="Times New Roman"/>
          <w:szCs w:val="24"/>
        </w:rPr>
      </w:pPr>
      <w:r w:rsidRPr="00E432C0">
        <w:rPr>
          <w:rFonts w:ascii="Times New Roman" w:hAnsi="Times New Roman" w:cs="Times New Roman"/>
          <w:snapToGrid w:val="0"/>
          <w:sz w:val="24"/>
          <w:szCs w:val="24"/>
        </w:rPr>
        <w:t xml:space="preserve">Costs linked to the implementation of the preparatory visit including travel and subsistence. Contribution on the basis of unit costs. </w:t>
      </w:r>
      <w:r w:rsidR="00DC27EC">
        <w:rPr>
          <w:rFonts w:ascii="Times New Roman" w:hAnsi="Times New Roman" w:cs="Times New Roman"/>
          <w:snapToGrid w:val="0"/>
          <w:sz w:val="24"/>
          <w:szCs w:val="24"/>
        </w:rPr>
        <w:t>609</w:t>
      </w:r>
      <w:r w:rsidR="00DC27EC" w:rsidRPr="00E432C0">
        <w:rPr>
          <w:rFonts w:ascii="Times New Roman" w:hAnsi="Times New Roman" w:cs="Times New Roman"/>
          <w:sz w:val="24"/>
          <w:szCs w:val="24"/>
        </w:rPr>
        <w:t xml:space="preserve"> </w:t>
      </w:r>
      <w:r w:rsidRPr="00E432C0">
        <w:rPr>
          <w:rFonts w:ascii="Times New Roman" w:hAnsi="Times New Roman" w:cs="Times New Roman"/>
          <w:snapToGrid w:val="0"/>
          <w:sz w:val="24"/>
          <w:szCs w:val="24"/>
        </w:rPr>
        <w:t xml:space="preserve">EUR per participant per preparatory visit. Based on the number of participants, including accompanying persons. A maximum of </w:t>
      </w:r>
      <w:r w:rsidR="002970BA" w:rsidRPr="00E432C0">
        <w:rPr>
          <w:rFonts w:ascii="Times New Roman" w:hAnsi="Times New Roman" w:cs="Times New Roman"/>
          <w:snapToGrid w:val="0"/>
          <w:sz w:val="24"/>
          <w:szCs w:val="24"/>
        </w:rPr>
        <w:t xml:space="preserve">2 </w:t>
      </w:r>
      <w:r w:rsidRPr="00E432C0">
        <w:rPr>
          <w:rFonts w:ascii="Times New Roman" w:hAnsi="Times New Roman" w:cs="Times New Roman"/>
          <w:snapToGrid w:val="0"/>
          <w:sz w:val="24"/>
          <w:szCs w:val="24"/>
        </w:rPr>
        <w:t>participant per participating organisation can be funded per activity</w:t>
      </w:r>
      <w:r w:rsidR="00613C12" w:rsidRPr="00E432C0">
        <w:rPr>
          <w:rFonts w:ascii="Times New Roman" w:hAnsi="Times New Roman" w:cs="Times New Roman"/>
          <w:snapToGrid w:val="0"/>
          <w:sz w:val="24"/>
          <w:szCs w:val="24"/>
        </w:rPr>
        <w:t>, provided that one of them is a young person with fewer opportunities who will take part in the volunteering activity.</w:t>
      </w:r>
    </w:p>
    <w:p w14:paraId="59943896" w14:textId="2D8AE7FB" w:rsidR="00F24269" w:rsidRPr="00E432C0" w:rsidRDefault="00613C12" w:rsidP="009F1A33">
      <w:pPr>
        <w:pStyle w:val="Kop2"/>
      </w:pPr>
      <w:r w:rsidRPr="00E432C0">
        <w:t xml:space="preserve">Exceptional </w:t>
      </w:r>
      <w:r w:rsidR="00F24269" w:rsidRPr="00E432C0">
        <w:t>costs</w:t>
      </w:r>
    </w:p>
    <w:p w14:paraId="4A669F26" w14:textId="2F634655" w:rsidR="00EC564A" w:rsidRPr="00E432C0" w:rsidRDefault="00EC564A">
      <w:pPr>
        <w:spacing w:after="120"/>
        <w:ind w:firstLine="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100 % of eligible costs</w:t>
      </w:r>
      <w:r w:rsidRPr="00E432C0">
        <w:rPr>
          <w:rFonts w:ascii="Times New Roman" w:hAnsi="Times New Roman" w:cs="Times New Roman"/>
          <w:snapToGrid w:val="0"/>
          <w:sz w:val="24"/>
          <w:szCs w:val="24"/>
        </w:rPr>
        <w:t>:</w:t>
      </w:r>
    </w:p>
    <w:p w14:paraId="561314FD" w14:textId="22EAF01A" w:rsidR="00EC564A" w:rsidRPr="00E432C0" w:rsidRDefault="00EC564A" w:rsidP="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Visa and visa related costs, residence permits, vaccinations, medical certifications, clearance requirements costs</w:t>
      </w:r>
    </w:p>
    <w:p w14:paraId="351916F6" w14:textId="77777777" w:rsidR="00EC564A" w:rsidRPr="00E432C0" w:rsidRDefault="00EC564A" w:rsidP="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 xml:space="preserve">Costs connected to personal insurance for in country activities </w:t>
      </w:r>
    </w:p>
    <w:p w14:paraId="7A6B454D" w14:textId="3B806BBE" w:rsidR="00EC564A" w:rsidRPr="00E432C0" w:rsidRDefault="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Reinforced mentorship, i.e. the preparation, implementation and follow up of tailor made activities. Applicants must justify that the standard funding rules ("Inclusion support" unit cost per day per participant) do not cover at least 80 % of the costs incurred. If awarded, the exceptional costs to support the participation of young people with fewer opportunities will replace the inclusion support grant.</w:t>
      </w:r>
    </w:p>
    <w:p w14:paraId="14CEBF39" w14:textId="02455BB3" w:rsidR="00EC564A" w:rsidRDefault="00EC564A" w:rsidP="00E432C0">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incurred by organisations to support the participation of young people with fewer opportunities on equal terms as others related to reasonable adjustments or investment in physical assets.</w:t>
      </w:r>
    </w:p>
    <w:p w14:paraId="39DB9C9F" w14:textId="77777777" w:rsidR="00894694" w:rsidRPr="00E432C0" w:rsidRDefault="00894694" w:rsidP="00E432C0">
      <w:pPr>
        <w:pStyle w:val="Lijstalinea"/>
        <w:jc w:val="both"/>
        <w:rPr>
          <w:rFonts w:ascii="Times New Roman" w:hAnsi="Times New Roman" w:cs="Times New Roman"/>
          <w:snapToGrid w:val="0"/>
          <w:sz w:val="24"/>
          <w:szCs w:val="24"/>
        </w:rPr>
      </w:pPr>
    </w:p>
    <w:p w14:paraId="66A37BB0" w14:textId="5EB304DF" w:rsidR="00EC564A" w:rsidRPr="00E432C0" w:rsidRDefault="00EC564A" w:rsidP="00EC564A">
      <w:pPr>
        <w:ind w:left="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80 % of eligible costs</w:t>
      </w:r>
      <w:r w:rsidRPr="00E432C0">
        <w:rPr>
          <w:rFonts w:ascii="Times New Roman" w:hAnsi="Times New Roman" w:cs="Times New Roman"/>
          <w:snapToGrid w:val="0"/>
          <w:sz w:val="24"/>
          <w:szCs w:val="24"/>
        </w:rPr>
        <w:t>:</w:t>
      </w:r>
    </w:p>
    <w:p w14:paraId="6EF4E621" w14:textId="261FAB86" w:rsidR="00EC564A" w:rsidRPr="00E432C0" w:rsidRDefault="00EC564A" w:rsidP="00E432C0">
      <w:pPr>
        <w:pStyle w:val="Lijstalinea"/>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for providing a financial guarantee, if the National Agency asks for it (80 % of eligible costs)</w:t>
      </w:r>
    </w:p>
    <w:p w14:paraId="432FFC57" w14:textId="21B2E598" w:rsidR="008B54E1" w:rsidRPr="00E432C0" w:rsidRDefault="008B54E1" w:rsidP="00E432C0">
      <w:pPr>
        <w:pStyle w:val="Lijstalinea"/>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Expensive travel costs for participants (e.g. from and to outermost regions), including for the use of cleaner, lower carbon emission means of transport which result in expensive travel costs</w:t>
      </w:r>
      <w:r w:rsidR="00B32897" w:rsidRPr="00E432C0">
        <w:rPr>
          <w:rFonts w:ascii="Times New Roman" w:hAnsi="Times New Roman" w:cs="Times New Roman"/>
          <w:snapToGrid w:val="0"/>
          <w:sz w:val="24"/>
          <w:szCs w:val="24"/>
        </w:rPr>
        <w:t xml:space="preserve"> (80 % of eligible costs)</w:t>
      </w:r>
      <w:r w:rsidR="00EC564A" w:rsidRPr="00E432C0">
        <w:rPr>
          <w:rFonts w:ascii="Times New Roman" w:hAnsi="Times New Roman" w:cs="Times New Roman"/>
          <w:snapToGrid w:val="0"/>
          <w:sz w:val="24"/>
          <w:szCs w:val="24"/>
        </w:rPr>
        <w:t>. A</w:t>
      </w:r>
      <w:r w:rsidRPr="00E432C0">
        <w:rPr>
          <w:rFonts w:ascii="Times New Roman" w:hAnsi="Times New Roman" w:cs="Times New Roman"/>
          <w:snapToGrid w:val="0"/>
          <w:sz w:val="24"/>
          <w:szCs w:val="24"/>
        </w:rPr>
        <w:t xml:space="preserve">pplicants must justify that the standard funding rules (based on unit costs per travel distance band) do not cover at least 70 % of the travel costs of participants. If awarded, the exceptional costs for expensive travel replace the standard travel grant. </w:t>
      </w:r>
    </w:p>
    <w:p w14:paraId="0CC90689" w14:textId="7B2FCE1B" w:rsidR="00F41BFF" w:rsidRPr="00E432C0" w:rsidRDefault="00F41BFF" w:rsidP="00AD34F3">
      <w:pPr>
        <w:spacing w:after="120" w:line="240" w:lineRule="auto"/>
        <w:jc w:val="both"/>
        <w:rPr>
          <w:rFonts w:ascii="Times New Roman" w:hAnsi="Times New Roman" w:cs="Times New Roman"/>
          <w:sz w:val="24"/>
          <w:szCs w:val="24"/>
        </w:rPr>
      </w:pPr>
    </w:p>
    <w:sectPr w:rsidR="00F41BFF" w:rsidRPr="00E432C0" w:rsidSect="00122185">
      <w:footerReference w:type="default" r:id="rId10"/>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8540" w14:textId="77777777" w:rsidR="000548A7" w:rsidRDefault="000548A7" w:rsidP="000548A7">
      <w:pPr>
        <w:spacing w:after="0" w:line="240" w:lineRule="auto"/>
      </w:pPr>
      <w:r>
        <w:separator/>
      </w:r>
    </w:p>
  </w:endnote>
  <w:endnote w:type="continuationSeparator" w:id="0">
    <w:p w14:paraId="49000C9C" w14:textId="77777777" w:rsidR="000548A7" w:rsidRDefault="000548A7" w:rsidP="0005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979524"/>
      <w:docPartObj>
        <w:docPartGallery w:val="Page Numbers (Bottom of Page)"/>
        <w:docPartUnique/>
      </w:docPartObj>
    </w:sdtPr>
    <w:sdtEndPr>
      <w:rPr>
        <w:noProof/>
      </w:rPr>
    </w:sdtEndPr>
    <w:sdtContent>
      <w:p w14:paraId="681F0061" w14:textId="20A21B24" w:rsidR="000548A7" w:rsidRDefault="000548A7">
        <w:pPr>
          <w:pStyle w:val="Voettekst"/>
          <w:jc w:val="right"/>
        </w:pPr>
        <w:r>
          <w:fldChar w:fldCharType="begin"/>
        </w:r>
        <w:r>
          <w:instrText xml:space="preserve"> PAGE   \* MERGEFORMAT </w:instrText>
        </w:r>
        <w:r>
          <w:fldChar w:fldCharType="separate"/>
        </w:r>
        <w:r w:rsidR="00894694">
          <w:rPr>
            <w:noProof/>
          </w:rPr>
          <w:t>6</w:t>
        </w:r>
        <w:r>
          <w:rPr>
            <w:noProof/>
          </w:rPr>
          <w:fldChar w:fldCharType="end"/>
        </w:r>
      </w:p>
    </w:sdtContent>
  </w:sdt>
  <w:p w14:paraId="5E46AE4F" w14:textId="77777777" w:rsidR="000548A7" w:rsidRDefault="00054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AB86" w14:textId="77777777" w:rsidR="000548A7" w:rsidRDefault="000548A7" w:rsidP="000548A7">
      <w:pPr>
        <w:spacing w:after="0" w:line="240" w:lineRule="auto"/>
      </w:pPr>
      <w:r>
        <w:separator/>
      </w:r>
    </w:p>
  </w:footnote>
  <w:footnote w:type="continuationSeparator" w:id="0">
    <w:p w14:paraId="7D78B086" w14:textId="77777777" w:rsidR="000548A7" w:rsidRDefault="000548A7" w:rsidP="000548A7">
      <w:pPr>
        <w:spacing w:after="0" w:line="240" w:lineRule="auto"/>
      </w:pPr>
      <w:r>
        <w:continuationSeparator/>
      </w:r>
    </w:p>
  </w:footnote>
  <w:footnote w:id="1">
    <w:p w14:paraId="46919680" w14:textId="3CD74F7B" w:rsidR="00613C12" w:rsidRPr="00E432C0" w:rsidRDefault="00613C12">
      <w:pPr>
        <w:pStyle w:val="Voetnoottekst"/>
        <w:rPr>
          <w:lang w:val="ro-RO"/>
        </w:rPr>
      </w:pPr>
      <w:r>
        <w:rPr>
          <w:rStyle w:val="Voetnootmarkering"/>
        </w:rPr>
        <w:footnoteRef/>
      </w:r>
      <w:r>
        <w:t xml:space="preserve"> </w:t>
      </w:r>
      <w:hyperlink r:id="rId1" w:history="1">
        <w:r w:rsidRPr="00E432C0">
          <w:rPr>
            <w:rStyle w:val="Hyperlink"/>
            <w:sz w:val="16"/>
            <w:szCs w:val="16"/>
          </w:rPr>
          <w:t>https://erasmus-plus.ec.europa.eu/resources-and-tools/distance-calculator</w:t>
        </w:r>
      </w:hyperlink>
      <w:r w:rsidRPr="00E432C0">
        <w:rPr>
          <w:sz w:val="16"/>
          <w:szCs w:val="16"/>
        </w:rPr>
        <w:t xml:space="preserve"> For example, if a person from Madrid (Spain) is taking part in an activity taking place in Rome (Italy), the applicant will a) calculate the distance from Madrid to Rome (1365,28 KM); b) select the applicable travel distance band (i.e. Between 500 and 1999 KM) and c) calculate the EU grant that will provide a contribution to the costs of travel of the participant from Madrid to Rome and return (</w:t>
      </w:r>
      <w:r w:rsidR="009F1A33">
        <w:rPr>
          <w:sz w:val="16"/>
          <w:szCs w:val="16"/>
        </w:rPr>
        <w:t>309</w:t>
      </w:r>
      <w:r w:rsidR="009F1A33" w:rsidRPr="00E432C0">
        <w:rPr>
          <w:sz w:val="16"/>
          <w:szCs w:val="16"/>
        </w:rPr>
        <w:t xml:space="preserve"> </w:t>
      </w:r>
      <w:r w:rsidRPr="00E432C0">
        <w:rPr>
          <w:sz w:val="16"/>
          <w:szCs w:val="16"/>
        </w:rPr>
        <w: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BCD"/>
    <w:multiLevelType w:val="hybridMultilevel"/>
    <w:tmpl w:val="A9A6B4A2"/>
    <w:lvl w:ilvl="0" w:tplc="8D92A0B4">
      <w:start w:val="10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83C46"/>
    <w:multiLevelType w:val="hybridMultilevel"/>
    <w:tmpl w:val="4ECC4212"/>
    <w:lvl w:ilvl="0" w:tplc="DDE09100">
      <w:start w:val="1"/>
      <w:numFmt w:val="upperLetter"/>
      <w:pStyle w:val="Kop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52AD7263"/>
    <w:multiLevelType w:val="hybridMultilevel"/>
    <w:tmpl w:val="4B182A6A"/>
    <w:lvl w:ilvl="0" w:tplc="B1A20470">
      <w:start w:val="1"/>
      <w:numFmt w:val="decimal"/>
      <w:pStyle w:val="Kop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226518"/>
    <w:multiLevelType w:val="hybridMultilevel"/>
    <w:tmpl w:val="06E849C4"/>
    <w:lvl w:ilvl="0" w:tplc="76844A6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2128301">
    <w:abstractNumId w:val="3"/>
  </w:num>
  <w:num w:numId="2" w16cid:durableId="1350912628">
    <w:abstractNumId w:val="7"/>
  </w:num>
  <w:num w:numId="3" w16cid:durableId="812211360">
    <w:abstractNumId w:val="5"/>
  </w:num>
  <w:num w:numId="4" w16cid:durableId="1990674386">
    <w:abstractNumId w:val="4"/>
  </w:num>
  <w:num w:numId="5" w16cid:durableId="790395115">
    <w:abstractNumId w:val="1"/>
  </w:num>
  <w:num w:numId="6" w16cid:durableId="359015495">
    <w:abstractNumId w:val="1"/>
    <w:lvlOverride w:ilvl="0">
      <w:startOverride w:val="1"/>
    </w:lvlOverride>
  </w:num>
  <w:num w:numId="7" w16cid:durableId="1250381682">
    <w:abstractNumId w:val="8"/>
  </w:num>
  <w:num w:numId="8" w16cid:durableId="346954415">
    <w:abstractNumId w:val="2"/>
  </w:num>
  <w:num w:numId="9" w16cid:durableId="1039161814">
    <w:abstractNumId w:val="8"/>
    <w:lvlOverride w:ilvl="0">
      <w:startOverride w:val="1"/>
    </w:lvlOverride>
  </w:num>
  <w:num w:numId="10" w16cid:durableId="1877501825">
    <w:abstractNumId w:val="8"/>
    <w:lvlOverride w:ilvl="0">
      <w:startOverride w:val="1"/>
    </w:lvlOverride>
  </w:num>
  <w:num w:numId="11" w16cid:durableId="912547410">
    <w:abstractNumId w:val="9"/>
  </w:num>
  <w:num w:numId="12" w16cid:durableId="1340544236">
    <w:abstractNumId w:val="6"/>
  </w:num>
  <w:num w:numId="13" w16cid:durableId="1614052862">
    <w:abstractNumId w:val="8"/>
  </w:num>
  <w:num w:numId="14" w16cid:durableId="116802757">
    <w:abstractNumId w:val="8"/>
  </w:num>
  <w:num w:numId="15" w16cid:durableId="1445268614">
    <w:abstractNumId w:val="10"/>
  </w:num>
  <w:num w:numId="16" w16cid:durableId="9185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07B5A"/>
    <w:rsid w:val="00011D70"/>
    <w:rsid w:val="00016B01"/>
    <w:rsid w:val="000221D8"/>
    <w:rsid w:val="000548A7"/>
    <w:rsid w:val="000D7CB9"/>
    <w:rsid w:val="00122185"/>
    <w:rsid w:val="0017299B"/>
    <w:rsid w:val="00193797"/>
    <w:rsid w:val="001E4F98"/>
    <w:rsid w:val="001F5421"/>
    <w:rsid w:val="002579C2"/>
    <w:rsid w:val="0027224A"/>
    <w:rsid w:val="002970BA"/>
    <w:rsid w:val="002B74B3"/>
    <w:rsid w:val="002B7D92"/>
    <w:rsid w:val="002D28FF"/>
    <w:rsid w:val="0031107B"/>
    <w:rsid w:val="003808AE"/>
    <w:rsid w:val="00394615"/>
    <w:rsid w:val="003B79BE"/>
    <w:rsid w:val="003D3880"/>
    <w:rsid w:val="003E3FCC"/>
    <w:rsid w:val="00427103"/>
    <w:rsid w:val="00430D12"/>
    <w:rsid w:val="00465DC5"/>
    <w:rsid w:val="00465FED"/>
    <w:rsid w:val="004C15B3"/>
    <w:rsid w:val="004C6A6D"/>
    <w:rsid w:val="004F2F4E"/>
    <w:rsid w:val="005718C6"/>
    <w:rsid w:val="005A6881"/>
    <w:rsid w:val="005D0D84"/>
    <w:rsid w:val="00611637"/>
    <w:rsid w:val="00613C12"/>
    <w:rsid w:val="00623E8B"/>
    <w:rsid w:val="00656E6C"/>
    <w:rsid w:val="006711D2"/>
    <w:rsid w:val="006C518C"/>
    <w:rsid w:val="006D1AF1"/>
    <w:rsid w:val="006E7525"/>
    <w:rsid w:val="0072048B"/>
    <w:rsid w:val="007208B8"/>
    <w:rsid w:val="007255B7"/>
    <w:rsid w:val="007443FC"/>
    <w:rsid w:val="00802558"/>
    <w:rsid w:val="00850120"/>
    <w:rsid w:val="0085560A"/>
    <w:rsid w:val="00866095"/>
    <w:rsid w:val="00881FFE"/>
    <w:rsid w:val="0089205D"/>
    <w:rsid w:val="00894694"/>
    <w:rsid w:val="008A67BF"/>
    <w:rsid w:val="008B54E1"/>
    <w:rsid w:val="008C3400"/>
    <w:rsid w:val="008E179D"/>
    <w:rsid w:val="00970744"/>
    <w:rsid w:val="009723B4"/>
    <w:rsid w:val="00991573"/>
    <w:rsid w:val="00996C1C"/>
    <w:rsid w:val="00997EB1"/>
    <w:rsid w:val="009A01BC"/>
    <w:rsid w:val="009D6416"/>
    <w:rsid w:val="009F1623"/>
    <w:rsid w:val="009F1A33"/>
    <w:rsid w:val="009F7F7D"/>
    <w:rsid w:val="00A46EBA"/>
    <w:rsid w:val="00A55CB7"/>
    <w:rsid w:val="00A91261"/>
    <w:rsid w:val="00AA44CA"/>
    <w:rsid w:val="00AC6EA8"/>
    <w:rsid w:val="00AD34F3"/>
    <w:rsid w:val="00AF72EB"/>
    <w:rsid w:val="00B13280"/>
    <w:rsid w:val="00B32897"/>
    <w:rsid w:val="00B44A05"/>
    <w:rsid w:val="00B716A6"/>
    <w:rsid w:val="00B808F4"/>
    <w:rsid w:val="00BA098D"/>
    <w:rsid w:val="00BC496D"/>
    <w:rsid w:val="00BC62D6"/>
    <w:rsid w:val="00BD7D67"/>
    <w:rsid w:val="00BE35D0"/>
    <w:rsid w:val="00C012D3"/>
    <w:rsid w:val="00C30857"/>
    <w:rsid w:val="00C640A9"/>
    <w:rsid w:val="00D16EFE"/>
    <w:rsid w:val="00D36C2F"/>
    <w:rsid w:val="00D60AE3"/>
    <w:rsid w:val="00D962C9"/>
    <w:rsid w:val="00DA0E6A"/>
    <w:rsid w:val="00DC27EC"/>
    <w:rsid w:val="00DC2B52"/>
    <w:rsid w:val="00DE37ED"/>
    <w:rsid w:val="00DE439A"/>
    <w:rsid w:val="00E06CE8"/>
    <w:rsid w:val="00E432C0"/>
    <w:rsid w:val="00E66A14"/>
    <w:rsid w:val="00EC564A"/>
    <w:rsid w:val="00EC5652"/>
    <w:rsid w:val="00F24269"/>
    <w:rsid w:val="00F34B61"/>
    <w:rsid w:val="00F41BFF"/>
    <w:rsid w:val="00F46602"/>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880"/>
  </w:style>
  <w:style w:type="paragraph" w:styleId="Kop1">
    <w:name w:val="heading 1"/>
    <w:basedOn w:val="Standaard"/>
    <w:next w:val="Standaard"/>
    <w:link w:val="Kop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Kop2">
    <w:name w:val="heading 2"/>
    <w:basedOn w:val="Standaard"/>
    <w:next w:val="Standaard"/>
    <w:link w:val="Kop2Char"/>
    <w:autoRedefine/>
    <w:uiPriority w:val="9"/>
    <w:unhideWhenUsed/>
    <w:qFormat/>
    <w:rsid w:val="009F1A33"/>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Kop3">
    <w:name w:val="heading 3"/>
    <w:basedOn w:val="Standaard"/>
    <w:next w:val="Standaard"/>
    <w:link w:val="Kop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394615"/>
    <w:pPr>
      <w:spacing w:after="0" w:line="240" w:lineRule="auto"/>
      <w:ind w:left="720"/>
    </w:pPr>
    <w:rPr>
      <w:rFonts w:ascii="Calibri" w:eastAsia="SimSun" w:hAnsi="Calibri" w:cs="Calibri"/>
    </w:rPr>
  </w:style>
  <w:style w:type="paragraph" w:styleId="Revisie">
    <w:name w:val="Revision"/>
    <w:hidden/>
    <w:uiPriority w:val="99"/>
    <w:semiHidden/>
    <w:rsid w:val="00193797"/>
    <w:pPr>
      <w:spacing w:after="0" w:line="240" w:lineRule="auto"/>
    </w:pPr>
  </w:style>
  <w:style w:type="character" w:customStyle="1" w:styleId="Kop1Char">
    <w:name w:val="Kop 1 Char"/>
    <w:basedOn w:val="Standaardalinea-lettertype"/>
    <w:link w:val="Kop1"/>
    <w:uiPriority w:val="9"/>
    <w:rsid w:val="00BE35D0"/>
    <w:rPr>
      <w:rFonts w:ascii="Times New Roman" w:eastAsiaTheme="majorEastAsia" w:hAnsi="Times New Roman" w:cstheme="majorBidi"/>
      <w:sz w:val="24"/>
      <w:szCs w:val="32"/>
    </w:rPr>
  </w:style>
  <w:style w:type="character" w:customStyle="1" w:styleId="Kop2Char">
    <w:name w:val="Kop 2 Char"/>
    <w:basedOn w:val="Standaardalinea-lettertype"/>
    <w:link w:val="Kop2"/>
    <w:uiPriority w:val="9"/>
    <w:rsid w:val="009F1A33"/>
    <w:rPr>
      <w:rFonts w:ascii="Times New Roman" w:eastAsiaTheme="majorEastAsia" w:hAnsi="Times New Roman" w:cstheme="majorBidi"/>
      <w:sz w:val="24"/>
      <w:szCs w:val="26"/>
      <w:u w:val="single"/>
    </w:rPr>
  </w:style>
  <w:style w:type="character" w:customStyle="1" w:styleId="Kop3Char">
    <w:name w:val="Kop 3 Char"/>
    <w:basedOn w:val="Standaardalinea-lettertype"/>
    <w:link w:val="Kop3"/>
    <w:uiPriority w:val="9"/>
    <w:rsid w:val="00F34B61"/>
    <w:rPr>
      <w:rFonts w:asciiTheme="majorHAnsi" w:eastAsiaTheme="majorEastAsia" w:hAnsiTheme="majorHAnsi" w:cstheme="majorBidi"/>
      <w:color w:val="243F60" w:themeColor="accent1" w:themeShade="7F"/>
      <w:sz w:val="24"/>
      <w:szCs w:val="24"/>
    </w:rPr>
  </w:style>
  <w:style w:type="character" w:styleId="Verwijzingopmerking">
    <w:name w:val="annotation reference"/>
    <w:basedOn w:val="Standaardalinea-lettertype"/>
    <w:uiPriority w:val="99"/>
    <w:semiHidden/>
    <w:unhideWhenUsed/>
    <w:rsid w:val="005A6881"/>
    <w:rPr>
      <w:sz w:val="16"/>
      <w:szCs w:val="16"/>
    </w:rPr>
  </w:style>
  <w:style w:type="paragraph" w:styleId="Tekstopmerking">
    <w:name w:val="annotation text"/>
    <w:basedOn w:val="Standaard"/>
    <w:link w:val="TekstopmerkingChar"/>
    <w:uiPriority w:val="99"/>
    <w:unhideWhenUsed/>
    <w:rsid w:val="005A6881"/>
    <w:pPr>
      <w:spacing w:line="240" w:lineRule="auto"/>
    </w:pPr>
    <w:rPr>
      <w:sz w:val="20"/>
      <w:szCs w:val="20"/>
    </w:rPr>
  </w:style>
  <w:style w:type="character" w:customStyle="1" w:styleId="TekstopmerkingChar">
    <w:name w:val="Tekst opmerking Char"/>
    <w:basedOn w:val="Standaardalinea-lettertype"/>
    <w:link w:val="Tekstopmerking"/>
    <w:uiPriority w:val="99"/>
    <w:rsid w:val="005A6881"/>
    <w:rPr>
      <w:sz w:val="20"/>
      <w:szCs w:val="20"/>
    </w:rPr>
  </w:style>
  <w:style w:type="paragraph" w:styleId="Onderwerpvanopmerking">
    <w:name w:val="annotation subject"/>
    <w:basedOn w:val="Tekstopmerking"/>
    <w:next w:val="Tekstopmerking"/>
    <w:link w:val="OnderwerpvanopmerkingChar"/>
    <w:uiPriority w:val="99"/>
    <w:semiHidden/>
    <w:unhideWhenUsed/>
    <w:rsid w:val="005A6881"/>
    <w:rPr>
      <w:b/>
      <w:bCs/>
    </w:rPr>
  </w:style>
  <w:style w:type="character" w:customStyle="1" w:styleId="OnderwerpvanopmerkingChar">
    <w:name w:val="Onderwerp van opmerking Char"/>
    <w:basedOn w:val="TekstopmerkingChar"/>
    <w:link w:val="Onderwerpvanopmerking"/>
    <w:uiPriority w:val="99"/>
    <w:semiHidden/>
    <w:rsid w:val="005A6881"/>
    <w:rPr>
      <w:b/>
      <w:bCs/>
      <w:sz w:val="20"/>
      <w:szCs w:val="20"/>
    </w:rPr>
  </w:style>
  <w:style w:type="paragraph" w:styleId="Koptekst">
    <w:name w:val="header"/>
    <w:basedOn w:val="Standaard"/>
    <w:link w:val="KoptekstChar"/>
    <w:uiPriority w:val="99"/>
    <w:unhideWhenUsed/>
    <w:rsid w:val="000548A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548A7"/>
  </w:style>
  <w:style w:type="paragraph" w:styleId="Voettekst">
    <w:name w:val="footer"/>
    <w:basedOn w:val="Standaard"/>
    <w:link w:val="VoettekstChar"/>
    <w:uiPriority w:val="99"/>
    <w:unhideWhenUsed/>
    <w:rsid w:val="000548A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548A7"/>
  </w:style>
  <w:style w:type="paragraph" w:styleId="Voetnoottekst">
    <w:name w:val="footnote text"/>
    <w:basedOn w:val="Standaard"/>
    <w:link w:val="VoetnoottekstChar"/>
    <w:uiPriority w:val="99"/>
    <w:semiHidden/>
    <w:unhideWhenUsed/>
    <w:rsid w:val="00613C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3C12"/>
    <w:rPr>
      <w:sz w:val="20"/>
      <w:szCs w:val="20"/>
    </w:rPr>
  </w:style>
  <w:style w:type="character" w:styleId="Voetnootmarkering">
    <w:name w:val="footnote reference"/>
    <w:basedOn w:val="Standaardalinea-lettertype"/>
    <w:uiPriority w:val="99"/>
    <w:semiHidden/>
    <w:unhideWhenUsed/>
    <w:rsid w:val="00613C12"/>
    <w:rPr>
      <w:vertAlign w:val="superscript"/>
    </w:rPr>
  </w:style>
  <w:style w:type="character" w:styleId="Hyperlink">
    <w:name w:val="Hyperlink"/>
    <w:basedOn w:val="Standaardalinea-lettertype"/>
    <w:uiPriority w:val="99"/>
    <w:unhideWhenUsed/>
    <w:rsid w:val="00613C12"/>
    <w:rPr>
      <w:color w:val="0000FF" w:themeColor="hyperlink"/>
      <w:u w:val="single"/>
    </w:rPr>
  </w:style>
  <w:style w:type="character" w:styleId="GevolgdeHyperlink">
    <w:name w:val="FollowedHyperlink"/>
    <w:basedOn w:val="Standaardalinea-lettertype"/>
    <w:uiPriority w:val="99"/>
    <w:semiHidden/>
    <w:unhideWhenUsed/>
    <w:rsid w:val="00613C12"/>
    <w:rPr>
      <w:color w:val="800080" w:themeColor="followedHyperlink"/>
      <w:u w:val="single"/>
    </w:rPr>
  </w:style>
  <w:style w:type="paragraph" w:customStyle="1" w:styleId="Default">
    <w:name w:val="Default"/>
    <w:rsid w:val="008B54E1"/>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6C208-E3FB-4E97-B36D-FEE9A4CCBCA3}">
  <ds:schemaRefs>
    <ds:schemaRef ds:uri="http://schemas.openxmlformats.org/officeDocument/2006/bibliography"/>
  </ds:schemaRefs>
</ds:datastoreItem>
</file>

<file path=customXml/itemProps2.xml><?xml version="1.0" encoding="utf-8"?>
<ds:datastoreItem xmlns:ds="http://schemas.openxmlformats.org/officeDocument/2006/customXml" ds:itemID="{2651331D-0DE3-4E55-80EF-4C6EFA64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3744-0950-4D0B-96DA-D5E6782E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2024-04-19T15:05:00Z</dcterms:created>
  <dcterms:modified xsi:type="dcterms:W3CDTF">2024-06-11T09:39:00Z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dcc4eeb0-8442-4381-b302-6676583cd81b</vt:lpwstr>
  </property>
  <property fmtid="{D5CDD505-2E9C-101B-9397-08002B2CF9AE}" pid="8" name="MSIP_Label_6bd9ddd1-4d20-43f6-abfa-fc3c07406f94_ContentBits">
    <vt:lpwstr>0</vt:lpwstr>
  </property>
</Properties>
</file>