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0566" w14:textId="22B8F8EE" w:rsidR="00050F4E" w:rsidRDefault="00050F4E" w:rsidP="0081758A">
      <w:pPr>
        <w:pStyle w:val="Annex"/>
        <w:jc w:val="center"/>
      </w:pPr>
      <w:r w:rsidRPr="00946A9C">
        <w:t>ANNEX 2</w:t>
      </w:r>
      <w:r>
        <w:t xml:space="preserve"> - </w:t>
      </w:r>
      <w:r w:rsidR="00F16130" w:rsidRPr="00F16130">
        <w:t xml:space="preserve"> </w:t>
      </w:r>
      <w:r w:rsidR="00F16130">
        <w:t>Additional information related to the ELIGIBility of COSTS</w:t>
      </w:r>
    </w:p>
    <w:p w14:paraId="08BC467A" w14:textId="77777777" w:rsidR="00BB1AFE" w:rsidRPr="001B6153" w:rsidRDefault="00BB1AFE" w:rsidP="00BB1AFE">
      <w:pPr>
        <w:spacing w:after="200"/>
      </w:pPr>
    </w:p>
    <w:p w14:paraId="33F02AC7" w14:textId="79644F68" w:rsidR="00050F4E" w:rsidRDefault="00F468CD" w:rsidP="000B7038">
      <w:pPr>
        <w:pStyle w:val="Kop1"/>
        <w:numPr>
          <w:ilvl w:val="0"/>
          <w:numId w:val="7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36E5785F" w:rsidR="00443E91" w:rsidRPr="00A907AD" w:rsidRDefault="00443E91" w:rsidP="00443E91">
      <w:pPr>
        <w:spacing w:after="200"/>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 xml:space="preserve">place </w:t>
      </w:r>
      <w:r w:rsidR="00445013">
        <w:rPr>
          <w:rFonts w:ascii="Times New Roman" w:eastAsia="Calibri" w:hAnsi="Times New Roman" w:cs="Times New Roman"/>
          <w:sz w:val="24"/>
          <w:szCs w:val="24"/>
          <w:lang w:eastAsia="ar-SA"/>
        </w:rPr>
        <w:t xml:space="preserve">of </w:t>
      </w:r>
      <w:r w:rsidR="00CD5CC9">
        <w:rPr>
          <w:rFonts w:ascii="Times New Roman" w:eastAsia="Calibri" w:hAnsi="Times New Roman" w:cs="Times New Roman"/>
          <w:sz w:val="24"/>
          <w:szCs w:val="24"/>
          <w:lang w:eastAsia="ar-SA"/>
        </w:rPr>
        <w:t xml:space="preserve">legal </w:t>
      </w:r>
      <w:r w:rsidR="00445013">
        <w:rPr>
          <w:rFonts w:ascii="Times New Roman" w:eastAsia="Calibri" w:hAnsi="Times New Roman" w:cs="Times New Roman"/>
          <w:sz w:val="24"/>
          <w:szCs w:val="24"/>
          <w:lang w:eastAsia="ar-SA"/>
        </w:rPr>
        <w:t>residence of the participant</w:t>
      </w:r>
    </w:p>
    <w:p w14:paraId="18C09E63" w14:textId="5651AB02"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65D17848" w:rsidR="00443E91" w:rsidRPr="000E69C7" w:rsidRDefault="00443E91" w:rsidP="00443E91">
      <w:pPr>
        <w:pStyle w:val="Tekstopmerking"/>
        <w:rPr>
          <w:sz w:val="24"/>
          <w:szCs w:val="24"/>
        </w:rPr>
      </w:pPr>
      <w:r w:rsidRPr="000E69C7">
        <w:rPr>
          <w:sz w:val="24"/>
          <w:szCs w:val="24"/>
        </w:rPr>
        <w:t>Travel unit contribution for sustainable means of transport (green travel) is eligible if sustainable means of transport have been used for the majority of the round trip</w:t>
      </w:r>
      <w:r w:rsidR="00F16130">
        <w:rPr>
          <w:sz w:val="24"/>
          <w:szCs w:val="24"/>
        </w:rPr>
        <w:t xml:space="preserve"> </w:t>
      </w:r>
      <w:r w:rsidR="00F16130" w:rsidRPr="00F16130">
        <w:rPr>
          <w:sz w:val="24"/>
          <w:szCs w:val="24"/>
        </w:rPr>
        <w:t>(in terms of distance travelled)</w:t>
      </w:r>
      <w:r w:rsidRPr="000E69C7">
        <w:rPr>
          <w:sz w:val="24"/>
          <w:szCs w:val="24"/>
        </w:rPr>
        <w:t>.</w:t>
      </w:r>
    </w:p>
    <w:p w14:paraId="1108CBB5" w14:textId="0942273D"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sidR="00B523EA">
        <w:rPr>
          <w:rFonts w:ascii="Times New Roman" w:eastAsia="Calibri" w:hAnsi="Times New Roman" w:cs="Times New Roman"/>
          <w:sz w:val="24"/>
          <w:szCs w:val="24"/>
          <w:lang w:eastAsia="ar-SA"/>
        </w:rPr>
        <w:t xml:space="preserve">origin </w:t>
      </w:r>
      <w:r>
        <w:rPr>
          <w:rFonts w:ascii="Times New Roman" w:eastAsia="Calibri" w:hAnsi="Times New Roman" w:cs="Times New Roman"/>
          <w:sz w:val="24"/>
          <w:szCs w:val="24"/>
          <w:lang w:eastAsia="ar-SA"/>
        </w:rPr>
        <w:t>and the place of arrival</w:t>
      </w:r>
      <w:r w:rsidRPr="0065476B">
        <w:rPr>
          <w:rFonts w:ascii="Times New Roman" w:eastAsia="Calibri" w:hAnsi="Times New Roman" w:cs="Times New Roman"/>
          <w:sz w:val="24"/>
          <w:szCs w:val="24"/>
          <w:lang w:eastAsia="ar-SA"/>
        </w:rPr>
        <w:t>.</w:t>
      </w:r>
    </w:p>
    <w:p w14:paraId="17D81A87" w14:textId="6EAD0C9E" w:rsidR="000018AA" w:rsidRDefault="00443E91" w:rsidP="00443E91">
      <w:pPr>
        <w:spacing w:after="200"/>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 xml:space="preserve">he place where the </w:t>
      </w:r>
      <w:r w:rsidR="0064375D">
        <w:rPr>
          <w:rFonts w:ascii="Times New Roman" w:eastAsia="Calibri" w:hAnsi="Times New Roman" w:cs="Times New Roman"/>
          <w:sz w:val="24"/>
          <w:szCs w:val="24"/>
          <w:lang w:eastAsia="ar-SA"/>
        </w:rPr>
        <w:t>host</w:t>
      </w:r>
      <w:r w:rsidR="0064375D" w:rsidRPr="009D57BA">
        <w:rPr>
          <w:rFonts w:ascii="Times New Roman" w:eastAsia="Calibri" w:hAnsi="Times New Roman" w:cs="Times New Roman"/>
          <w:sz w:val="24"/>
          <w:szCs w:val="24"/>
          <w:lang w:eastAsia="ar-SA"/>
        </w:rPr>
        <w:t xml:space="preserve"> </w:t>
      </w:r>
      <w:r w:rsidRPr="009D57BA">
        <w:rPr>
          <w:rFonts w:ascii="Times New Roman" w:eastAsia="Calibri" w:hAnsi="Times New Roman" w:cs="Times New Roman"/>
          <w:sz w:val="24"/>
          <w:szCs w:val="24"/>
          <w:lang w:eastAsia="ar-SA"/>
        </w:rPr>
        <w:t>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4F3B6151" w:rsidR="00F94869" w:rsidRPr="00BF7339" w:rsidRDefault="00F94869" w:rsidP="00CD5CC9">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activities specified in the Programme Guide. </w:t>
      </w:r>
    </w:p>
    <w:p w14:paraId="69E72921" w14:textId="50BFEA24" w:rsidR="003803A4" w:rsidRPr="003803A4" w:rsidRDefault="003803A4" w:rsidP="00AF1DF9">
      <w:pPr>
        <w:pStyle w:val="Kop2"/>
        <w:ind w:left="0" w:firstLine="0"/>
        <w:rPr>
          <w:rFonts w:eastAsia="SimSun" w:hint="eastAsia"/>
          <w:b w:val="0"/>
          <w:shd w:val="clear" w:color="auto" w:fill="FFFF00"/>
          <w:lang w:eastAsia="ar-SA"/>
        </w:rPr>
      </w:pPr>
      <w:r>
        <w:rPr>
          <w:rFonts w:eastAsia="Calibri"/>
          <w:szCs w:val="24"/>
          <w:lang w:eastAsia="ar-SA"/>
        </w:rPr>
        <w:t xml:space="preserve">1.1 </w:t>
      </w:r>
      <w:r w:rsidRPr="00AF1DF9">
        <w:rPr>
          <w:rFonts w:eastAsia="Calibri"/>
          <w:lang w:eastAsia="ar-SA"/>
        </w:rPr>
        <w:t>Travel</w:t>
      </w:r>
      <w:r>
        <w:rPr>
          <w:rFonts w:eastAsia="Calibri"/>
          <w:b w:val="0"/>
          <w:szCs w:val="24"/>
          <w:lang w:eastAsia="ar-SA"/>
        </w:rPr>
        <w:t xml:space="preserve"> </w:t>
      </w:r>
    </w:p>
    <w:p w14:paraId="57D12370" w14:textId="4B752585"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10CECA58" w14:textId="087BAEC1" w:rsidR="00884AF0" w:rsidRDefault="00A907AD" w:rsidP="002B56F3">
      <w:pPr>
        <w:suppressAutoHyphens/>
        <w:spacing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w:t>
      </w:r>
      <w:r w:rsidR="002D4C01">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r w:rsidR="002D4C01">
        <w:rPr>
          <w:rFonts w:ascii="Times New Roman" w:eastAsia="Calibri" w:hAnsi="Times New Roman" w:cs="Times New Roman"/>
          <w:sz w:val="24"/>
          <w:szCs w:val="24"/>
          <w:lang w:eastAsia="ar-SA"/>
        </w:rPr>
        <w:t xml:space="preserve">including </w:t>
      </w:r>
      <w:r w:rsidR="00050F4E" w:rsidRPr="0065476B">
        <w:rPr>
          <w:rFonts w:ascii="Times New Roman" w:eastAsia="Calibri" w:hAnsi="Times New Roman" w:cs="Times New Roman"/>
          <w:sz w:val="24"/>
          <w:szCs w:val="24"/>
          <w:lang w:eastAsia="ar-SA"/>
        </w:rPr>
        <w:t>accompanying persons</w:t>
      </w:r>
      <w:r w:rsidR="002D4C01">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9A7B74">
        <w:rPr>
          <w:rFonts w:ascii="Times New Roman" w:eastAsia="Calibri" w:hAnsi="Times New Roman" w:cs="Times New Roman"/>
          <w:sz w:val="24"/>
          <w:szCs w:val="24"/>
          <w:lang w:eastAsia="ar-SA"/>
        </w:rPr>
        <w:t>green</w:t>
      </w:r>
      <w:r w:rsidR="009A7B74"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or </w:t>
      </w:r>
      <w:r w:rsidR="009A7B74">
        <w:rPr>
          <w:rFonts w:ascii="Times New Roman" w:eastAsia="Calibri" w:hAnsi="Times New Roman" w:cs="Times New Roman"/>
          <w:sz w:val="24"/>
          <w:szCs w:val="24"/>
          <w:lang w:eastAsia="ar-SA"/>
        </w:rPr>
        <w:t>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19E88238"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For the establishment of the distance band applicable, the beneficiary must indicate the distance of a one-way travel using the on-line distance calculator available on the Commission's website </w:t>
      </w:r>
      <w:r w:rsidRPr="00445013">
        <w:rPr>
          <w:rFonts w:ascii="Times New Roman" w:eastAsia="Calibri" w:hAnsi="Times New Roman" w:cs="Times New Roman"/>
          <w:sz w:val="24"/>
          <w:szCs w:val="24"/>
          <w:lang w:eastAsia="ar-SA"/>
        </w:rPr>
        <w:t>at:</w:t>
      </w:r>
      <w:r w:rsidR="00342CB2" w:rsidRPr="00445013">
        <w:rPr>
          <w:rFonts w:ascii="Times New Roman" w:eastAsia="Calibri" w:hAnsi="Times New Roman" w:cs="Times New Roman"/>
          <w:sz w:val="24"/>
          <w:szCs w:val="24"/>
          <w:lang w:eastAsia="ar-SA"/>
        </w:rPr>
        <w:t xml:space="preserve"> </w:t>
      </w:r>
      <w:hyperlink r:id="rId10" w:history="1">
        <w:r w:rsidR="00445013" w:rsidRPr="00445013">
          <w:rPr>
            <w:rStyle w:val="Hyperlink"/>
            <w:rFonts w:ascii="Times New Roman" w:hAnsi="Times New Roman" w:cs="Times New Roman"/>
          </w:rPr>
          <w:t>https://erasmus-plus.ec.europa.eu/resources-and-tools/distance-calculator</w:t>
        </w:r>
      </w:hyperlink>
      <w:r w:rsidRPr="00445013">
        <w:rPr>
          <w:rFonts w:ascii="Times New Roman" w:eastAsia="Calibri" w:hAnsi="Times New Roman" w:cs="Times New Roman"/>
          <w:sz w:val="24"/>
          <w:szCs w:val="24"/>
          <w:lang w:eastAsia="ar-SA"/>
        </w:rPr>
        <w:t xml:space="preserve">. </w:t>
      </w:r>
    </w:p>
    <w:p w14:paraId="0639262D" w14:textId="3B8C61BC"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w:t>
      </w:r>
      <w:r w:rsidR="002C631B">
        <w:rPr>
          <w:rFonts w:ascii="Times New Roman" w:eastAsia="Calibri" w:hAnsi="Times New Roman" w:cs="Times New Roman"/>
          <w:sz w:val="24"/>
          <w:szCs w:val="24"/>
          <w:lang w:eastAsia="ar-SA"/>
        </w:rPr>
        <w:t>European Solidarity Corps</w:t>
      </w:r>
      <w:r w:rsidR="00050F4E" w:rsidRPr="0065476B">
        <w:rPr>
          <w:rFonts w:ascii="Times New Roman" w:eastAsia="Calibri" w:hAnsi="Times New Roman" w:cs="Times New Roman"/>
          <w:sz w:val="24"/>
          <w:szCs w:val="24"/>
          <w:lang w:eastAsia="ar-SA"/>
        </w:rPr>
        <w:t xml:space="preserve"> reporting and management tool based on the applicable unit contribution rates. </w:t>
      </w:r>
    </w:p>
    <w:p w14:paraId="7B0E19CC" w14:textId="04A5C030" w:rsidR="002E268B" w:rsidRDefault="00050F4E" w:rsidP="0019420E">
      <w:pPr>
        <w:pStyle w:val="Lijstalinea"/>
        <w:numPr>
          <w:ilvl w:val="0"/>
          <w:numId w:val="62"/>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3AB81B26" w14:textId="0BEBC87B" w:rsidR="00E21394" w:rsidRPr="00E21394" w:rsidRDefault="00E21394" w:rsidP="00E21394">
      <w:pPr>
        <w:suppressAutoHyphens/>
        <w:spacing w:after="0" w:line="100" w:lineRule="atLeast"/>
        <w:jc w:val="both"/>
        <w:rPr>
          <w:rFonts w:ascii="Times New Roman" w:eastAsia="Calibri" w:hAnsi="Times New Roman" w:cs="Times New Roman"/>
          <w:sz w:val="24"/>
          <w:szCs w:val="24"/>
          <w:lang w:eastAsia="ar-SA"/>
        </w:rPr>
      </w:pPr>
      <w:r w:rsidRPr="00E21394">
        <w:rPr>
          <w:rFonts w:ascii="Times New Roman" w:eastAsia="Calibri" w:hAnsi="Times New Roman" w:cs="Times New Roman"/>
          <w:sz w:val="24"/>
          <w:szCs w:val="24"/>
          <w:lang w:eastAsia="ar-SA"/>
        </w:rPr>
        <w:t xml:space="preserve">The travel support is </w:t>
      </w:r>
      <w:r w:rsidR="009A7B74">
        <w:rPr>
          <w:rFonts w:ascii="Times New Roman" w:eastAsia="Calibri" w:hAnsi="Times New Roman" w:cs="Times New Roman"/>
          <w:sz w:val="24"/>
          <w:szCs w:val="24"/>
          <w:lang w:eastAsia="ar-SA"/>
        </w:rPr>
        <w:t xml:space="preserve">eligible </w:t>
      </w:r>
      <w:r w:rsidRPr="00E21394">
        <w:rPr>
          <w:rFonts w:ascii="Times New Roman" w:eastAsia="Calibri" w:hAnsi="Times New Roman" w:cs="Times New Roman"/>
          <w:sz w:val="24"/>
          <w:szCs w:val="24"/>
          <w:lang w:eastAsia="ar-SA"/>
        </w:rPr>
        <w:t>if the participant has actually undertaken the activity.</w:t>
      </w:r>
    </w:p>
    <w:p w14:paraId="53555FE6" w14:textId="1CB608A0"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19420E">
      <w:pPr>
        <w:pStyle w:val="Lijstalinea"/>
        <w:numPr>
          <w:ilvl w:val="0"/>
          <w:numId w:val="62"/>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3E4A69A" w14:textId="6F76CA28" w:rsidR="00050F4E" w:rsidRPr="0065476B" w:rsidRDefault="009A7B74" w:rsidP="002A7DE8">
      <w:pPr>
        <w:suppressAutoHyphens/>
        <w:spacing w:after="20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050F4E" w:rsidRPr="0065476B">
        <w:rPr>
          <w:rFonts w:ascii="Times New Roman" w:eastAsia="Times New Roman" w:hAnsi="Times New Roman" w:cs="Times New Roman"/>
          <w:color w:val="000000"/>
          <w:sz w:val="24"/>
          <w:szCs w:val="24"/>
          <w:lang w:eastAsia="ar-SA"/>
        </w:rPr>
        <w:t>a declaration signed by the participant</w:t>
      </w:r>
      <w:r w:rsidR="009C08E7">
        <w:rPr>
          <w:rFonts w:ascii="Times New Roman" w:eastAsia="Times New Roman" w:hAnsi="Times New Roman" w:cs="Times New Roman"/>
          <w:color w:val="000000"/>
          <w:sz w:val="24"/>
          <w:szCs w:val="24"/>
          <w:lang w:eastAsia="ar-SA"/>
        </w:rPr>
        <w:t xml:space="preserve"> </w:t>
      </w:r>
      <w:r w:rsidR="00E22357">
        <w:rPr>
          <w:rFonts w:ascii="Times New Roman" w:eastAsia="Times New Roman" w:hAnsi="Times New Roman" w:cs="Times New Roman"/>
          <w:color w:val="000000"/>
          <w:sz w:val="24"/>
          <w:szCs w:val="24"/>
          <w:lang w:eastAsia="ar-SA"/>
        </w:rPr>
        <w:t xml:space="preserve">and by the host organisation specifying: the name of the participant, the purpose of the activity, the venue, starting and end dates. </w:t>
      </w:r>
    </w:p>
    <w:p w14:paraId="7018CA38" w14:textId="2EF08C37"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sidR="00E22357">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w:t>
      </w:r>
      <w:r w:rsidRPr="0065476B">
        <w:rPr>
          <w:rFonts w:ascii="Times New Roman" w:eastAsia="Calibri" w:hAnsi="Times New Roman" w:cs="Times New Roman"/>
          <w:color w:val="000000"/>
          <w:sz w:val="24"/>
          <w:szCs w:val="24"/>
          <w:lang w:eastAsia="ar-SA"/>
        </w:rPr>
        <w:t>in case of use of sustainable means of transport (green travel): a declaration on honour signed by the person receiving the travel grant will serve as supporting documentation.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03600E2" w:rsidR="00405EFB" w:rsidRDefault="00ED7C3D" w:rsidP="00EB2CC0">
      <w:pPr>
        <w:suppressAutoHyphens/>
        <w:spacing w:line="276" w:lineRule="auto"/>
        <w:jc w:val="both"/>
        <w:rPr>
          <w:rFonts w:ascii="Times New Roman" w:hAnsi="Times New Roman"/>
          <w:i/>
          <w:color w:val="4AA55B"/>
          <w:sz w:val="24"/>
          <w:szCs w:val="24"/>
          <w:lang w:val="en-US"/>
        </w:rPr>
      </w:pPr>
      <w:r w:rsidRPr="00DE2ED3">
        <w:rPr>
          <w:rFonts w:ascii="Times New Roman" w:eastAsia="Calibri" w:hAnsi="Times New Roman" w:cs="Times New Roman"/>
          <w:sz w:val="24"/>
          <w:szCs w:val="24"/>
          <w:lang w:eastAsia="ar-SA"/>
        </w:rPr>
        <w:t xml:space="preserve">If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w:t>
      </w:r>
      <w:r w:rsidR="00E21394">
        <w:rPr>
          <w:rFonts w:ascii="Times New Roman" w:eastAsia="Calibri" w:hAnsi="Times New Roman" w:cs="Times New Roman"/>
          <w:sz w:val="24"/>
          <w:szCs w:val="24"/>
          <w:lang w:eastAsia="ar-SA"/>
        </w:rPr>
        <w:t>European Solidarity</w:t>
      </w:r>
      <w:r w:rsidRPr="00DE2ED3">
        <w:rPr>
          <w:rFonts w:ascii="Times New Roman" w:eastAsia="Calibri" w:hAnsi="Times New Roman" w:cs="Times New Roman"/>
          <w:sz w:val="24"/>
          <w:szCs w:val="24"/>
          <w:lang w:eastAsia="ar-SA"/>
        </w:rPr>
        <w:t xml:space="preserve">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1A69B9">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0B66D4F0"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w:t>
      </w:r>
      <w:r w:rsidR="005A5D3F">
        <w:rPr>
          <w:rFonts w:eastAsia="Calibri"/>
          <w:szCs w:val="24"/>
          <w:lang w:eastAsia="ar-SA"/>
        </w:rPr>
        <w:t>Pocket money</w:t>
      </w:r>
    </w:p>
    <w:p w14:paraId="0E049085" w14:textId="77229E50" w:rsidR="0019420E" w:rsidRPr="00346A1C" w:rsidRDefault="0019420E" w:rsidP="00346A1C">
      <w:pPr>
        <w:pStyle w:val="Lijstalinea"/>
        <w:numPr>
          <w:ilvl w:val="0"/>
          <w:numId w:val="63"/>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1DD9CAFF" w14:textId="0303B244" w:rsidR="00050F4E" w:rsidRPr="0065476B" w:rsidRDefault="00A55C59" w:rsidP="00E21394">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by the unit contribution applicable per day for the </w:t>
      </w:r>
      <w:r w:rsidR="001144C0">
        <w:rPr>
          <w:rFonts w:ascii="Times New Roman" w:eastAsia="Calibri" w:hAnsi="Times New Roman" w:cs="Times New Roman"/>
          <w:sz w:val="24"/>
          <w:szCs w:val="24"/>
          <w:lang w:eastAsia="ar-SA"/>
        </w:rPr>
        <w:t>host</w:t>
      </w:r>
      <w:r w:rsidR="00050F4E" w:rsidRPr="0065476B">
        <w:rPr>
          <w:rFonts w:ascii="Times New Roman" w:eastAsia="Calibri" w:hAnsi="Times New Roman" w:cs="Times New Roman"/>
          <w:sz w:val="24"/>
          <w:szCs w:val="24"/>
          <w:lang w:eastAsia="ar-SA"/>
        </w:rPr>
        <w:t xml:space="preserve"> country concerned, as specified in Annex 3 of the Agreement. </w:t>
      </w:r>
      <w:r w:rsidR="001144C0">
        <w:rPr>
          <w:rFonts w:ascii="Times New Roman" w:eastAsia="Calibri" w:hAnsi="Times New Roman" w:cs="Times New Roman"/>
          <w:sz w:val="24"/>
          <w:szCs w:val="24"/>
          <w:lang w:eastAsia="ar-SA"/>
        </w:rPr>
        <w:t>The calculation may include one travel day before the activity and one travel day following the activity (if relevant), and up to four additional days for participants receiving a green travel grant. The calculation must exclude the accompanying persons.</w:t>
      </w:r>
      <w:r w:rsidR="00050F4E" w:rsidRPr="0065476B">
        <w:rPr>
          <w:rFonts w:ascii="Times New Roman" w:eastAsia="Calibri" w:hAnsi="Times New Roman" w:cs="Times New Roman"/>
          <w:sz w:val="24"/>
          <w:szCs w:val="24"/>
          <w:lang w:eastAsia="ar-SA"/>
        </w:rPr>
        <w:t xml:space="preserve"> </w:t>
      </w:r>
    </w:p>
    <w:p w14:paraId="68B37260" w14:textId="244696CF"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w:t>
      </w:r>
      <w:r w:rsidR="00C11839">
        <w:rPr>
          <w:rFonts w:ascii="Times New Roman" w:eastAsia="Calibri" w:hAnsi="Times New Roman" w:cs="Times New Roman"/>
          <w:sz w:val="24"/>
          <w:szCs w:val="24"/>
          <w:lang w:eastAsia="ar-SA"/>
        </w:rPr>
        <w:t>pocket money</w:t>
      </w:r>
      <w:r w:rsidRPr="00B955B0">
        <w:rPr>
          <w:rFonts w:ascii="Times New Roman" w:eastAsia="Calibri" w:hAnsi="Times New Roman" w:cs="Times New Roman"/>
          <w:sz w:val="24"/>
          <w:szCs w:val="24"/>
          <w:lang w:eastAsia="ar-SA"/>
        </w:rPr>
        <w:t xml:space="preserve">.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 xml:space="preserve">continue the activities after the interruption (within the conditions established </w:t>
      </w:r>
      <w:r w:rsidR="002B5DAA" w:rsidRPr="002B5DAA">
        <w:rPr>
          <w:rFonts w:ascii="Times New Roman" w:eastAsia="Calibri" w:hAnsi="Times New Roman" w:cs="Times New Roman"/>
          <w:sz w:val="24"/>
          <w:szCs w:val="24"/>
          <w:lang w:eastAsia="ar-SA"/>
        </w:rPr>
        <w:t xml:space="preserve">in the </w:t>
      </w:r>
      <w:r w:rsidR="006112FF">
        <w:rPr>
          <w:rFonts w:ascii="Times New Roman" w:eastAsia="Calibri" w:hAnsi="Times New Roman" w:cs="Times New Roman"/>
          <w:sz w:val="24"/>
          <w:szCs w:val="24"/>
          <w:lang w:eastAsia="ar-SA"/>
        </w:rPr>
        <w:t>A</w:t>
      </w:r>
      <w:r w:rsidR="002B5DAA" w:rsidRPr="002B5DAA">
        <w:rPr>
          <w:rFonts w:ascii="Times New Roman" w:eastAsia="Calibri" w:hAnsi="Times New Roman" w:cs="Times New Roman"/>
          <w:sz w:val="24"/>
          <w:szCs w:val="24"/>
          <w:lang w:eastAsia="ar-SA"/>
        </w:rPr>
        <w:t>greement between the beneficiary and the participant</w:t>
      </w:r>
      <w:r w:rsidRPr="00B955B0">
        <w:rPr>
          <w:rFonts w:ascii="Times New Roman" w:eastAsia="Calibri" w:hAnsi="Times New Roman" w:cs="Times New Roman"/>
          <w:sz w:val="24"/>
          <w:szCs w:val="24"/>
          <w:lang w:eastAsia="ar-SA"/>
        </w:rPr>
        <w:t>).</w:t>
      </w:r>
    </w:p>
    <w:p w14:paraId="4737B76C" w14:textId="11515F2A"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w:t>
      </w:r>
      <w:r w:rsidR="001144C0">
        <w:rPr>
          <w:rFonts w:ascii="Times New Roman" w:eastAsia="Calibri" w:hAnsi="Times New Roman" w:cs="Times New Roman"/>
          <w:sz w:val="24"/>
          <w:szCs w:val="24"/>
          <w:lang w:eastAsia="ar-SA"/>
        </w:rPr>
        <w:t>of the activity period.</w:t>
      </w:r>
      <w:r w:rsidRPr="0065476B">
        <w:rPr>
          <w:rFonts w:ascii="Times New Roman" w:eastAsia="Calibri" w:hAnsi="Times New Roman" w:cs="Times New Roman"/>
          <w:sz w:val="24"/>
          <w:szCs w:val="24"/>
          <w:lang w:eastAsia="ar-SA"/>
        </w:rPr>
        <w:t xml:space="preserve">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C28C4">
      <w:pPr>
        <w:pStyle w:val="Lijstalinea"/>
        <w:numPr>
          <w:ilvl w:val="0"/>
          <w:numId w:val="63"/>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5D3FF624" w:rsidR="00050F4E" w:rsidRPr="0065476B" w:rsidRDefault="008325AD"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8325AD">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pocket money</w:t>
      </w:r>
      <w:r w:rsidRPr="008325AD">
        <w:rPr>
          <w:rFonts w:ascii="Times New Roman" w:eastAsia="Calibri" w:hAnsi="Times New Roman" w:cs="Times New Roman"/>
          <w:sz w:val="24"/>
          <w:szCs w:val="24"/>
          <w:lang w:eastAsia="ar-SA"/>
        </w:rPr>
        <w:t xml:space="preserve"> is </w:t>
      </w:r>
      <w:r w:rsidR="009A7B74">
        <w:rPr>
          <w:rFonts w:ascii="Times New Roman" w:eastAsia="Calibri" w:hAnsi="Times New Roman" w:cs="Times New Roman"/>
          <w:sz w:val="24"/>
          <w:szCs w:val="24"/>
          <w:lang w:eastAsia="ar-SA"/>
        </w:rPr>
        <w:t>eligible</w:t>
      </w:r>
      <w:r w:rsidRPr="008325AD">
        <w:rPr>
          <w:rFonts w:ascii="Times New Roman" w:eastAsia="Calibri" w:hAnsi="Times New Roman" w:cs="Times New Roman"/>
          <w:sz w:val="24"/>
          <w:szCs w:val="24"/>
          <w:lang w:eastAsia="ar-SA"/>
        </w:rPr>
        <w:t xml:space="preserve"> if the participant has actually undertaken the activity for the specified period.</w:t>
      </w:r>
    </w:p>
    <w:p w14:paraId="5B7ACB2D" w14:textId="77777777" w:rsidR="00050F4E" w:rsidRPr="00323825" w:rsidRDefault="00050F4E" w:rsidP="00CC28C4">
      <w:pPr>
        <w:numPr>
          <w:ilvl w:val="0"/>
          <w:numId w:val="63"/>
        </w:numPr>
        <w:suppressAutoHyphens/>
        <w:spacing w:after="240" w:line="100" w:lineRule="atLeast"/>
        <w:ind w:left="567" w:hanging="425"/>
        <w:rPr>
          <w:rFonts w:ascii="Times New Roman" w:eastAsia="Calibri" w:hAnsi="Times New Roman" w:cs="Times New Roman"/>
          <w:sz w:val="24"/>
          <w:szCs w:val="24"/>
          <w:u w:val="single"/>
          <w:lang w:eastAsia="ar-SA"/>
        </w:rPr>
      </w:pPr>
      <w:r w:rsidRPr="00323825">
        <w:rPr>
          <w:rFonts w:ascii="Times New Roman" w:eastAsia="Calibri" w:hAnsi="Times New Roman" w:cs="Times New Roman"/>
          <w:color w:val="000000"/>
          <w:sz w:val="24"/>
          <w:szCs w:val="24"/>
          <w:u w:val="single"/>
          <w:lang w:eastAsia="ar-SA"/>
        </w:rPr>
        <w:t>Supporting documents:</w:t>
      </w:r>
    </w:p>
    <w:p w14:paraId="04404970" w14:textId="79D2ACF3" w:rsidR="00050F4E" w:rsidRDefault="009A7B74" w:rsidP="00CD78E4">
      <w:pPr>
        <w:suppressAutoHyphens/>
        <w:spacing w:after="240" w:line="276" w:lineRule="auto"/>
        <w:jc w:val="both"/>
        <w:rPr>
          <w:rFonts w:ascii="Times New Roman" w:eastAsia="Calibri" w:hAnsi="Times New Roman" w:cs="Times New Roman"/>
          <w:color w:val="000000"/>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050F4E" w:rsidRPr="0065476B">
        <w:rPr>
          <w:rFonts w:ascii="Times New Roman" w:eastAsia="Times New Roman" w:hAnsi="Times New Roman" w:cs="Times New Roman"/>
          <w:color w:val="000000"/>
          <w:sz w:val="24"/>
          <w:szCs w:val="24"/>
          <w:lang w:eastAsia="ar-SA"/>
        </w:rPr>
        <w:t xml:space="preserve">a declaration signed by the participant and by the </w:t>
      </w:r>
      <w:r w:rsidR="001144C0">
        <w:rPr>
          <w:rFonts w:ascii="Times New Roman" w:eastAsia="Times New Roman" w:hAnsi="Times New Roman" w:cs="Times New Roman"/>
          <w:color w:val="000000"/>
          <w:sz w:val="24"/>
          <w:szCs w:val="24"/>
          <w:lang w:eastAsia="ar-SA"/>
        </w:rPr>
        <w:t>host</w:t>
      </w:r>
      <w:r w:rsidR="0037008D" w:rsidRPr="0065476B">
        <w:rPr>
          <w:rFonts w:ascii="Times New Roman" w:eastAsia="Times New Roman" w:hAnsi="Times New Roman" w:cs="Times New Roman"/>
          <w:color w:val="000000"/>
          <w:sz w:val="24"/>
          <w:szCs w:val="24"/>
          <w:lang w:eastAsia="ar-SA"/>
        </w:rPr>
        <w:t xml:space="preserve"> </w:t>
      </w:r>
      <w:r w:rsidR="00050F4E" w:rsidRPr="0065476B">
        <w:rPr>
          <w:rFonts w:ascii="Times New Roman" w:eastAsia="Times New Roman" w:hAnsi="Times New Roman" w:cs="Times New Roman"/>
          <w:color w:val="000000"/>
          <w:sz w:val="24"/>
          <w:szCs w:val="24"/>
          <w:lang w:eastAsia="ar-SA"/>
        </w:rPr>
        <w:t>organisation</w:t>
      </w:r>
      <w:r w:rsidR="0037008D">
        <w:rPr>
          <w:rFonts w:ascii="Times New Roman" w:eastAsia="Times New Roman" w:hAnsi="Times New Roman" w:cs="Times New Roman"/>
          <w:color w:val="000000"/>
          <w:sz w:val="24"/>
          <w:szCs w:val="24"/>
          <w:lang w:eastAsia="ar-SA"/>
        </w:rPr>
        <w:t xml:space="preserve"> </w:t>
      </w:r>
      <w:r w:rsidR="00050F4E" w:rsidRPr="00134C41">
        <w:rPr>
          <w:rFonts w:ascii="Times New Roman" w:eastAsia="Times New Roman" w:hAnsi="Times New Roman" w:cs="Times New Roman"/>
          <w:color w:val="000000"/>
          <w:sz w:val="24"/>
          <w:szCs w:val="24"/>
          <w:lang w:eastAsia="ar-SA"/>
        </w:rPr>
        <w:t>specifying the name of the participant, the purpose of the activity,</w:t>
      </w:r>
      <w:r w:rsidR="00DA0306">
        <w:rPr>
          <w:rFonts w:ascii="Times New Roman" w:eastAsia="Times New Roman" w:hAnsi="Times New Roman" w:cs="Times New Roman"/>
          <w:color w:val="000000"/>
          <w:sz w:val="24"/>
          <w:szCs w:val="24"/>
          <w:lang w:eastAsia="ar-SA"/>
        </w:rPr>
        <w:t xml:space="preserve"> the venue,</w:t>
      </w:r>
      <w:r w:rsidR="00050F4E" w:rsidRPr="00134C41">
        <w:rPr>
          <w:rFonts w:ascii="Times New Roman" w:eastAsia="Times New Roman" w:hAnsi="Times New Roman" w:cs="Times New Roman"/>
          <w:color w:val="000000"/>
          <w:sz w:val="24"/>
          <w:szCs w:val="24"/>
          <w:lang w:eastAsia="ar-SA"/>
        </w:rPr>
        <w:t xml:space="preserve"> as well as </w:t>
      </w:r>
      <w:r w:rsidR="002300DB" w:rsidRPr="00134C41">
        <w:rPr>
          <w:rFonts w:ascii="Times New Roman" w:eastAsia="Times New Roman" w:hAnsi="Times New Roman" w:cs="Times New Roman"/>
          <w:color w:val="000000"/>
          <w:sz w:val="24"/>
          <w:szCs w:val="24"/>
          <w:lang w:eastAsia="ar-SA"/>
        </w:rPr>
        <w:t>its</w:t>
      </w:r>
      <w:r w:rsidR="00050F4E" w:rsidRPr="00134C41">
        <w:rPr>
          <w:rFonts w:ascii="Times New Roman" w:eastAsia="Times New Roman" w:hAnsi="Times New Roman" w:cs="Times New Roman"/>
          <w:color w:val="000000"/>
          <w:sz w:val="24"/>
          <w:szCs w:val="24"/>
          <w:lang w:eastAsia="ar-SA"/>
        </w:rPr>
        <w:t xml:space="preserve"> starting and end date</w:t>
      </w:r>
      <w:r w:rsidR="00050F4E" w:rsidRPr="00134C41">
        <w:rPr>
          <w:rFonts w:ascii="Times New Roman" w:eastAsia="Calibri" w:hAnsi="Times New Roman" w:cs="Times New Roman"/>
          <w:color w:val="000000"/>
          <w:sz w:val="24"/>
          <w:szCs w:val="24"/>
          <w:lang w:eastAsia="ar-SA"/>
        </w:rPr>
        <w:t>.</w:t>
      </w:r>
    </w:p>
    <w:p w14:paraId="0F1E300D" w14:textId="2390D16A" w:rsidR="00DA0306" w:rsidRDefault="004E2F90" w:rsidP="00CD78E4">
      <w:pPr>
        <w:suppressAutoHyphens/>
        <w:spacing w:after="240" w:line="276"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Proof of payment of the full amount of pocket money due by beneficiary to the participant in form of a proof of transfer to the bank account of the participant or a receipt signed by the participant.</w:t>
      </w:r>
    </w:p>
    <w:p w14:paraId="6BEC9BA5" w14:textId="2C1D99D7" w:rsidR="00050F4E" w:rsidRPr="00CD78E4" w:rsidRDefault="00050F4E" w:rsidP="00CD78E4">
      <w:pPr>
        <w:numPr>
          <w:ilvl w:val="0"/>
          <w:numId w:val="63"/>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190D8B5E" w14:textId="6B308E89" w:rsidR="004E2F90" w:rsidRPr="002A7DE8" w:rsidRDefault="004E2F90" w:rsidP="00393596">
      <w:pPr>
        <w:spacing w:before="100" w:beforeAutospacing="1" w:after="100" w:afterAutospacing="1" w:line="276" w:lineRule="auto"/>
        <w:jc w:val="both"/>
        <w:rPr>
          <w:rFonts w:ascii="Times New Roman" w:eastAsia="Calibri" w:hAnsi="Times New Roman" w:cs="Times New Roman"/>
          <w:sz w:val="24"/>
          <w:szCs w:val="24"/>
          <w:lang w:eastAsia="ar-SA"/>
        </w:rPr>
      </w:pPr>
      <w:r w:rsidRPr="002A7DE8">
        <w:rPr>
          <w:rFonts w:ascii="Times New Roman" w:eastAsia="Calibri" w:hAnsi="Times New Roman" w:cs="Times New Roman"/>
          <w:sz w:val="24"/>
          <w:szCs w:val="24"/>
          <w:lang w:eastAsia="ar-SA"/>
        </w:rPr>
        <w:t>The beneficiary must report in the European Solidarity Corps reporting and management tool on all activities realised under the project.</w:t>
      </w:r>
    </w:p>
    <w:p w14:paraId="5C22E855" w14:textId="0E96035C" w:rsidR="004E2F90" w:rsidRDefault="004E2F90" w:rsidP="00393596">
      <w:pPr>
        <w:spacing w:before="100" w:beforeAutospacing="1" w:after="100" w:afterAutospacing="1" w:line="276" w:lineRule="auto"/>
        <w:jc w:val="both"/>
        <w:rPr>
          <w:rFonts w:ascii="Times New Roman" w:eastAsia="Calibri" w:hAnsi="Times New Roman" w:cs="Times New Roman"/>
          <w:sz w:val="24"/>
          <w:szCs w:val="24"/>
          <w:lang w:eastAsia="ar-SA"/>
        </w:rPr>
      </w:pPr>
      <w:r w:rsidRPr="002A7DE8">
        <w:rPr>
          <w:rFonts w:ascii="Times New Roman" w:eastAsia="Calibri" w:hAnsi="Times New Roman" w:cs="Times New Roman"/>
          <w:sz w:val="24"/>
          <w:szCs w:val="24"/>
          <w:lang w:eastAsia="ar-SA"/>
        </w:rPr>
        <w:t>If the duration of an activity is longer than the one indicated in the agreement with the participant, the beneficiary must amend the agreement to take into account the longer duration, provided that the remaining grant amount allows it. In such case, the beneficiary must indicate in the European Solidarity Corps reporting and management tool the new start date and the end date in line with the approved amendment.</w:t>
      </w:r>
    </w:p>
    <w:p w14:paraId="0CD01939" w14:textId="36EF339F" w:rsidR="00050F4E"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0F769167" w:rsidR="003A71BF" w:rsidRPr="00902A61" w:rsidRDefault="00050F4E" w:rsidP="003A71BF">
      <w:pPr>
        <w:pStyle w:val="Lijstalinea"/>
        <w:numPr>
          <w:ilvl w:val="0"/>
          <w:numId w:val="64"/>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F133D1">
        <w:rPr>
          <w:rFonts w:eastAsia="Calibri"/>
          <w:szCs w:val="24"/>
          <w:u w:val="single"/>
          <w:lang w:eastAsia="ar-SA"/>
        </w:rPr>
        <w:t>:</w:t>
      </w:r>
    </w:p>
    <w:p w14:paraId="55F14511" w14:textId="2E6A42D6" w:rsidR="00C52F1A" w:rsidRPr="002A7DE8"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2A7DE8">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w:t>
      </w:r>
      <w:r w:rsidR="00F133D1" w:rsidRPr="00F133D1">
        <w:rPr>
          <w:rFonts w:ascii="Times New Roman" w:eastAsia="SimSun" w:hAnsi="Times New Roman" w:cs="Times New Roman"/>
          <w:sz w:val="24"/>
          <w:szCs w:val="24"/>
          <w:lang w:eastAsia="ar-SA"/>
        </w:rPr>
        <w:t>otal unit contribution</w:t>
      </w:r>
      <w:r w:rsidR="00F133D1" w:rsidRPr="00F133D1" w:rsidDel="00F133D1">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is calculated by multiplying the number of days per participant by the unit contribution applicable per day for the host country concerned, as specified in Annex</w:t>
      </w:r>
      <w:r>
        <w:rPr>
          <w:rFonts w:ascii="Times New Roman" w:eastAsia="SimSun" w:hAnsi="Times New Roman" w:cs="Times New Roman"/>
          <w:sz w:val="24"/>
          <w:szCs w:val="24"/>
          <w:lang w:eastAsia="ar-SA"/>
        </w:rPr>
        <w:t xml:space="preserve"> </w:t>
      </w:r>
      <w:r w:rsidR="00EC6543">
        <w:rPr>
          <w:rFonts w:ascii="Times New Roman" w:eastAsia="SimSun" w:hAnsi="Times New Roman" w:cs="Times New Roman"/>
          <w:sz w:val="24"/>
          <w:szCs w:val="24"/>
          <w:lang w:eastAsia="ar-SA"/>
        </w:rPr>
        <w:t>3</w:t>
      </w:r>
      <w:r w:rsidR="002F0B33">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of the Agreement. The calculation may include one travel day before the activity and one travel day following the activity (if relevant), and up to four additional days for participants receiving a green travel grant. The calculation may include accompanying persons.</w:t>
      </w:r>
    </w:p>
    <w:p w14:paraId="6AF1BE32" w14:textId="471F7B12" w:rsidR="00C52F1A" w:rsidRPr="00134C41"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Persons taking part in preparatory visits are not considered for calculation of the organisational support grant</w:t>
      </w:r>
      <w:r w:rsidR="00EC6543">
        <w:rPr>
          <w:rFonts w:ascii="Times New Roman" w:eastAsia="SimSun" w:hAnsi="Times New Roman" w:cs="Times New Roman"/>
          <w:sz w:val="24"/>
          <w:szCs w:val="24"/>
          <w:lang w:eastAsia="ar-SA"/>
        </w:rPr>
        <w:t>. S</w:t>
      </w:r>
      <w:r w:rsidRPr="002A7DE8">
        <w:rPr>
          <w:rFonts w:ascii="Times New Roman" w:eastAsia="SimSun" w:hAnsi="Times New Roman" w:cs="Times New Roman"/>
          <w:sz w:val="24"/>
          <w:szCs w:val="24"/>
          <w:lang w:eastAsia="ar-SA"/>
        </w:rPr>
        <w:t>pecific funding is available for preparatory visits</w:t>
      </w:r>
      <w:r w:rsidR="00EC6543">
        <w:rPr>
          <w:rFonts w:ascii="Times New Roman" w:eastAsia="SimSun" w:hAnsi="Times New Roman" w:cs="Times New Roman"/>
          <w:sz w:val="24"/>
          <w:szCs w:val="24"/>
          <w:lang w:eastAsia="ar-SA"/>
        </w:rPr>
        <w:t>. Please see point 1.9 below</w:t>
      </w:r>
      <w:r w:rsidRPr="002A7DE8">
        <w:rPr>
          <w:rFonts w:ascii="Times New Roman" w:eastAsia="SimSun" w:hAnsi="Times New Roman" w:cs="Times New Roman"/>
          <w:sz w:val="24"/>
          <w:szCs w:val="24"/>
          <w:lang w:eastAsia="ar-SA"/>
        </w:rPr>
        <w:t>.</w:t>
      </w:r>
    </w:p>
    <w:p w14:paraId="12089C86" w14:textId="17956E67" w:rsidR="007A235B" w:rsidRPr="00C121E5" w:rsidRDefault="00050F4E" w:rsidP="00C121E5">
      <w:pPr>
        <w:pStyle w:val="Lijstalinea"/>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Triggering event: </w:t>
      </w:r>
    </w:p>
    <w:p w14:paraId="43D4FB99" w14:textId="2241D95F" w:rsidR="00C121E5" w:rsidRDefault="00EC6543" w:rsidP="00393596">
      <w:pPr>
        <w:suppressAutoHyphens/>
        <w:spacing w:after="0" w:line="100" w:lineRule="atLeast"/>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Pr>
          <w:rFonts w:ascii="Times New Roman" w:eastAsia="SimSun" w:hAnsi="Times New Roman" w:cs="Times New Roman"/>
          <w:sz w:val="24"/>
          <w:szCs w:val="24"/>
          <w:lang w:eastAsia="ar-SA"/>
        </w:rPr>
        <w:t>organisational support</w:t>
      </w:r>
      <w:r w:rsidRPr="007349A4">
        <w:rPr>
          <w:rFonts w:ascii="Times New Roman" w:eastAsia="SimSun" w:hAnsi="Times New Roman" w:cs="Times New Roman"/>
          <w:sz w:val="24"/>
          <w:szCs w:val="24"/>
          <w:lang w:eastAsia="ar-SA"/>
        </w:rPr>
        <w:t xml:space="preserve"> is </w:t>
      </w:r>
      <w:r w:rsidR="009A7B74">
        <w:rPr>
          <w:rFonts w:ascii="Times New Roman" w:eastAsia="SimSun" w:hAnsi="Times New Roman" w:cs="Times New Roman"/>
          <w:sz w:val="24"/>
          <w:szCs w:val="24"/>
          <w:lang w:eastAsia="ar-SA"/>
        </w:rPr>
        <w:t xml:space="preserve">eligible </w:t>
      </w:r>
      <w:r w:rsidRPr="007349A4">
        <w:rPr>
          <w:rFonts w:ascii="Times New Roman" w:eastAsia="SimSun" w:hAnsi="Times New Roman" w:cs="Times New Roman"/>
          <w:sz w:val="24"/>
          <w:szCs w:val="24"/>
          <w:lang w:eastAsia="ar-SA"/>
        </w:rPr>
        <w:t>if the participant has actually undertaken the activity</w:t>
      </w:r>
      <w:r w:rsidR="00C52F1A" w:rsidRPr="00C52F1A">
        <w:rPr>
          <w:rFonts w:ascii="Times New Roman" w:eastAsia="SimSun" w:hAnsi="Times New Roman" w:cs="Times New Roman"/>
          <w:sz w:val="24"/>
          <w:szCs w:val="24"/>
          <w:lang w:eastAsia="ar-SA"/>
        </w:rPr>
        <w:t xml:space="preserve"> for the specified period.</w:t>
      </w:r>
      <w:r w:rsidR="00C52F1A">
        <w:rPr>
          <w:rFonts w:ascii="Times New Roman" w:eastAsia="SimSun" w:hAnsi="Times New Roman" w:cs="Times New Roman"/>
          <w:sz w:val="24"/>
          <w:szCs w:val="24"/>
          <w:lang w:eastAsia="ar-SA"/>
        </w:rPr>
        <w:t xml:space="preserve"> </w:t>
      </w:r>
    </w:p>
    <w:p w14:paraId="09C70F13" w14:textId="77777777" w:rsidR="00C121E5" w:rsidRDefault="00C121E5" w:rsidP="00C121E5">
      <w:pPr>
        <w:suppressAutoHyphens/>
        <w:spacing w:after="0" w:line="100" w:lineRule="atLeast"/>
        <w:rPr>
          <w:rFonts w:ascii="Times New Roman" w:eastAsia="SimSun" w:hAnsi="Times New Roman" w:cs="Times New Roman"/>
          <w:sz w:val="24"/>
          <w:szCs w:val="24"/>
          <w:lang w:eastAsia="ar-SA"/>
        </w:rPr>
      </w:pPr>
    </w:p>
    <w:p w14:paraId="4DBB754C" w14:textId="3E770AC5" w:rsidR="00C121E5" w:rsidRPr="00C121E5" w:rsidRDefault="00050F4E" w:rsidP="00C121E5">
      <w:pPr>
        <w:pStyle w:val="Lijstalinea"/>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Supporting documents: </w:t>
      </w:r>
    </w:p>
    <w:p w14:paraId="611EE77B" w14:textId="533CC4FD" w:rsidR="00050F4E" w:rsidRDefault="00D03C89" w:rsidP="006F15D7">
      <w:pPr>
        <w:suppressAutoHyphens/>
        <w:spacing w:after="240" w:line="276" w:lineRule="auto"/>
        <w:jc w:val="both"/>
        <w:rPr>
          <w:rFonts w:ascii="Times New Roman" w:eastAsia="Times New Roman" w:hAnsi="Times New Roman" w:cs="Times New Roman"/>
          <w:color w:val="000000"/>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050F4E" w:rsidRPr="00241866">
        <w:rPr>
          <w:rFonts w:ascii="Times New Roman" w:eastAsia="Times New Roman" w:hAnsi="Times New Roman" w:cs="Times New Roman"/>
          <w:color w:val="000000"/>
          <w:sz w:val="24"/>
          <w:szCs w:val="24"/>
          <w:lang w:eastAsia="ar-SA"/>
        </w:rPr>
        <w:t xml:space="preserve">a declaration signed by the participant and by the </w:t>
      </w:r>
      <w:r w:rsidR="00E217C3">
        <w:rPr>
          <w:rFonts w:ascii="Times New Roman" w:eastAsia="Times New Roman" w:hAnsi="Times New Roman" w:cs="Times New Roman"/>
          <w:color w:val="000000"/>
          <w:sz w:val="24"/>
          <w:szCs w:val="24"/>
          <w:lang w:eastAsia="ar-SA"/>
        </w:rPr>
        <w:t>host</w:t>
      </w:r>
      <w:r w:rsidR="00050F4E" w:rsidRPr="00241866">
        <w:rPr>
          <w:rFonts w:ascii="Times New Roman" w:eastAsia="Times New Roman" w:hAnsi="Times New Roman" w:cs="Times New Roman"/>
          <w:color w:val="000000"/>
          <w:sz w:val="24"/>
          <w:szCs w:val="24"/>
          <w:lang w:eastAsia="ar-SA"/>
        </w:rPr>
        <w:t xml:space="preserve"> </w:t>
      </w:r>
      <w:r w:rsidR="00050F4E" w:rsidRPr="006F0ECA">
        <w:rPr>
          <w:rFonts w:ascii="Times New Roman" w:eastAsia="Times New Roman" w:hAnsi="Times New Roman" w:cs="Times New Roman"/>
          <w:color w:val="000000"/>
          <w:sz w:val="24"/>
          <w:szCs w:val="24"/>
          <w:lang w:eastAsia="ar-SA"/>
        </w:rPr>
        <w:t>organisation</w:t>
      </w:r>
      <w:r w:rsidR="007349A4">
        <w:rPr>
          <w:rFonts w:ascii="Times New Roman" w:eastAsia="Times New Roman" w:hAnsi="Times New Roman" w:cs="Times New Roman"/>
          <w:color w:val="000000"/>
          <w:sz w:val="24"/>
          <w:szCs w:val="24"/>
          <w:lang w:eastAsia="ar-SA"/>
        </w:rPr>
        <w:t xml:space="preserve">, </w:t>
      </w:r>
      <w:r w:rsidR="00050F4E" w:rsidRPr="00241866">
        <w:rPr>
          <w:rFonts w:ascii="Times New Roman" w:eastAsia="Times New Roman" w:hAnsi="Times New Roman" w:cs="Times New Roman"/>
          <w:color w:val="000000"/>
          <w:sz w:val="24"/>
          <w:szCs w:val="24"/>
          <w:lang w:eastAsia="ar-SA"/>
        </w:rPr>
        <w:t xml:space="preserve">specifying the name of the participant, the purpose of the activity, </w:t>
      </w:r>
      <w:r w:rsidR="00E217C3">
        <w:rPr>
          <w:rFonts w:ascii="Times New Roman" w:eastAsia="Times New Roman" w:hAnsi="Times New Roman" w:cs="Times New Roman"/>
          <w:color w:val="000000"/>
          <w:sz w:val="24"/>
          <w:szCs w:val="24"/>
          <w:lang w:eastAsia="ar-SA"/>
        </w:rPr>
        <w:t xml:space="preserve">the venue, </w:t>
      </w:r>
      <w:r w:rsidR="00050F4E" w:rsidRPr="00241866">
        <w:rPr>
          <w:rFonts w:ascii="Times New Roman" w:eastAsia="Times New Roman" w:hAnsi="Times New Roman" w:cs="Times New Roman"/>
          <w:color w:val="000000"/>
          <w:sz w:val="24"/>
          <w:szCs w:val="24"/>
          <w:lang w:eastAsia="ar-SA"/>
        </w:rPr>
        <w:t xml:space="preserve">as well as </w:t>
      </w:r>
      <w:r w:rsidR="00EC6543" w:rsidRPr="00241866">
        <w:rPr>
          <w:rFonts w:ascii="Times New Roman" w:eastAsia="Times New Roman" w:hAnsi="Times New Roman" w:cs="Times New Roman"/>
          <w:color w:val="000000"/>
          <w:sz w:val="24"/>
          <w:szCs w:val="24"/>
          <w:lang w:eastAsia="ar-SA"/>
        </w:rPr>
        <w:t>it’s</w:t>
      </w:r>
      <w:r w:rsidR="00050F4E" w:rsidRPr="00241866">
        <w:rPr>
          <w:rFonts w:ascii="Times New Roman" w:eastAsia="Times New Roman" w:hAnsi="Times New Roman" w:cs="Times New Roman"/>
          <w:color w:val="000000"/>
          <w:sz w:val="24"/>
          <w:szCs w:val="24"/>
          <w:lang w:eastAsia="ar-SA"/>
        </w:rPr>
        <w:t xml:space="preserve"> starting and end date</w:t>
      </w:r>
      <w:r w:rsidR="006F15D7">
        <w:rPr>
          <w:rFonts w:ascii="Times New Roman" w:eastAsia="Times New Roman" w:hAnsi="Times New Roman" w:cs="Times New Roman"/>
          <w:color w:val="000000"/>
          <w:sz w:val="24"/>
          <w:szCs w:val="24"/>
          <w:lang w:eastAsia="ar-SA"/>
        </w:rPr>
        <w:t>.</w:t>
      </w:r>
    </w:p>
    <w:p w14:paraId="7C5DA54F" w14:textId="1E165B1F" w:rsidR="00A23119" w:rsidRPr="00C121E5" w:rsidRDefault="00050F4E" w:rsidP="00C121E5">
      <w:pPr>
        <w:pStyle w:val="Lijstalinea"/>
        <w:numPr>
          <w:ilvl w:val="0"/>
          <w:numId w:val="64"/>
        </w:numPr>
        <w:suppressAutoHyphens/>
        <w:spacing w:line="276" w:lineRule="auto"/>
        <w:rPr>
          <w:rFonts w:eastAsia="Calibri"/>
          <w:szCs w:val="24"/>
          <w:u w:val="single"/>
          <w:lang w:eastAsia="ar-SA"/>
        </w:rPr>
      </w:pPr>
      <w:r w:rsidRPr="00C121E5" w:rsidDel="00CD2603">
        <w:rPr>
          <w:rFonts w:eastAsia="Calibri"/>
          <w:szCs w:val="24"/>
          <w:u w:val="single"/>
          <w:lang w:eastAsia="ar-SA"/>
        </w:rPr>
        <w:t xml:space="preserve">Reporting: </w:t>
      </w:r>
    </w:p>
    <w:p w14:paraId="5D95203B" w14:textId="3A317E06" w:rsidR="00E217C3" w:rsidRPr="00CA1527" w:rsidRDefault="00E217C3" w:rsidP="00CD5CC9">
      <w:pPr>
        <w:pStyle w:val="Normaalweb"/>
        <w:spacing w:line="276" w:lineRule="auto"/>
        <w:rPr>
          <w:rFonts w:eastAsia="Calibri"/>
          <w:lang w:eastAsia="ar-SA"/>
        </w:rPr>
      </w:pPr>
      <w:r w:rsidRPr="002A7DE8">
        <w:rPr>
          <w:rFonts w:eastAsia="Calibri"/>
          <w:lang w:eastAsia="ar-SA"/>
        </w:rPr>
        <w:t xml:space="preserve">The beneficiary must report on </w:t>
      </w:r>
      <w:r w:rsidR="00EC6543">
        <w:rPr>
          <w:rFonts w:eastAsia="Calibri"/>
          <w:lang w:eastAsia="ar-SA"/>
        </w:rPr>
        <w:t xml:space="preserve">the actual number of participants in activities </w:t>
      </w:r>
      <w:r w:rsidRPr="002A7DE8">
        <w:rPr>
          <w:rFonts w:eastAsia="Calibri"/>
          <w:lang w:eastAsia="ar-SA"/>
        </w:rPr>
        <w:t>in the European Solidarity Corps reporting and management tool.</w:t>
      </w:r>
    </w:p>
    <w:p w14:paraId="401DCD76" w14:textId="36675544" w:rsidR="009C4D1A" w:rsidRPr="002A7DE8" w:rsidRDefault="00CD5CC9" w:rsidP="009C4D1A">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The beneficiary must request the participants to fill in </w:t>
      </w:r>
      <w:r w:rsidR="001A69B9" w:rsidRPr="00353D7B">
        <w:rPr>
          <w:rFonts w:ascii="Times New Roman" w:eastAsia="Calibri" w:hAnsi="Times New Roman" w:cs="Times New Roman"/>
          <w:sz w:val="24"/>
          <w:szCs w:val="24"/>
          <w:lang w:eastAsia="ar-SA"/>
        </w:rPr>
        <w:t>the standard on-line questionnaire provided by the European Commission (the participant report)</w:t>
      </w:r>
      <w:r w:rsidR="001A69B9" w:rsidRPr="002A7DE8">
        <w:rPr>
          <w:rFonts w:ascii="Times New Roman" w:eastAsia="Calibri" w:hAnsi="Times New Roman" w:cs="Times New Roman"/>
          <w:sz w:val="24"/>
          <w:szCs w:val="24"/>
          <w:lang w:eastAsia="ar-SA"/>
        </w:rPr>
        <w:t>.</w:t>
      </w:r>
      <w:bookmarkStart w:id="0" w:name="_Hlk126142208"/>
      <w:bookmarkEnd w:id="0"/>
    </w:p>
    <w:p w14:paraId="18AD00D8" w14:textId="2571056B" w:rsidR="00050F4E" w:rsidRPr="00DC77CF"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w:t>
      </w:r>
      <w:r w:rsidR="001947B0">
        <w:rPr>
          <w:rFonts w:eastAsia="Calibri"/>
          <w:lang w:eastAsia="ar-SA"/>
        </w:rPr>
        <w:t>M</w:t>
      </w:r>
      <w:r w:rsidR="00050F4E" w:rsidRPr="006C27A1">
        <w:rPr>
          <w:rFonts w:eastAsia="Calibri"/>
          <w:lang w:eastAsia="ar-SA"/>
        </w:rPr>
        <w:t xml:space="preserve">anagement costs </w:t>
      </w:r>
    </w:p>
    <w:p w14:paraId="32C954C1" w14:textId="2C7D7CA8" w:rsidR="006C27A1" w:rsidRPr="00902A61" w:rsidRDefault="00050F4E" w:rsidP="006C27A1">
      <w:pPr>
        <w:pStyle w:val="Lijstalinea"/>
        <w:numPr>
          <w:ilvl w:val="0"/>
          <w:numId w:val="46"/>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1B00C204" w14:textId="6C4FD506" w:rsidR="00A22C2E" w:rsidRPr="00297C4E" w:rsidRDefault="00A22C2E" w:rsidP="00393596">
      <w:pPr>
        <w:pStyle w:val="Normaalweb"/>
        <w:spacing w:line="276" w:lineRule="auto"/>
        <w:rPr>
          <w:rFonts w:eastAsia="Calibri"/>
          <w:lang w:eastAsia="ar-SA"/>
        </w:rPr>
      </w:pPr>
      <w:r w:rsidRPr="002A7DE8">
        <w:rPr>
          <w:rFonts w:eastAsia="Calibri"/>
          <w:lang w:eastAsia="ar-SA"/>
        </w:rPr>
        <w:t xml:space="preserve">The </w:t>
      </w:r>
      <w:r w:rsidR="00F133D1">
        <w:rPr>
          <w:rFonts w:eastAsia="Calibri"/>
          <w:lang w:eastAsia="ar-SA"/>
        </w:rPr>
        <w:t>total unit contribution</w:t>
      </w:r>
      <w:r w:rsidRPr="002A7DE8">
        <w:rPr>
          <w:rFonts w:eastAsia="Calibri"/>
          <w:lang w:eastAsia="ar-SA"/>
        </w:rPr>
        <w:t xml:space="preserve"> is calculated by multiplying the number of activities for volunteering teams and/or the number of participants in individual volunteering activities, excluding accompanying persons, by the unit contributions applicable and capped, as specified in </w:t>
      </w:r>
      <w:r w:rsidR="002F0B33">
        <w:rPr>
          <w:rFonts w:eastAsia="Calibri"/>
          <w:lang w:eastAsia="ar-SA"/>
        </w:rPr>
        <w:t xml:space="preserve">Annex </w:t>
      </w:r>
      <w:r w:rsidR="00B76DFF">
        <w:rPr>
          <w:rFonts w:eastAsia="Calibri"/>
          <w:lang w:eastAsia="ar-SA"/>
        </w:rPr>
        <w:t>3</w:t>
      </w:r>
      <w:r w:rsidRPr="002A7DE8">
        <w:rPr>
          <w:rFonts w:eastAsia="Calibri"/>
          <w:lang w:eastAsia="ar-SA"/>
        </w:rPr>
        <w:t xml:space="preserve"> of the Agreement.</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1155BF3A" w14:textId="4F0B52BB" w:rsidR="00FA2722" w:rsidRPr="00297C4E"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actually undertaken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C877E0" w:rsidRPr="00C877E0">
        <w:rPr>
          <w:rFonts w:ascii="Times New Roman" w:eastAsia="SimSun" w:hAnsi="Times New Roman" w:cs="Times New Roman"/>
          <w:sz w:val="24"/>
          <w:szCs w:val="24"/>
          <w:lang w:eastAsia="ar-SA"/>
        </w:rPr>
        <w:t>a description of these activities in the final report.</w:t>
      </w:r>
      <w:r w:rsidR="00E115E1" w:rsidRPr="00C121E5">
        <w:rPr>
          <w:rFonts w:ascii="Times New Roman" w:hAnsi="Times New Roman"/>
          <w:i/>
          <w:color w:val="4AA55B"/>
          <w:sz w:val="24"/>
          <w:szCs w:val="24"/>
          <w:lang w:val="en-US"/>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18B7353B" w14:textId="56FDC312" w:rsidR="00C877E0"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w:t>
      </w:r>
      <w:r w:rsidR="00C877E0">
        <w:rPr>
          <w:rFonts w:ascii="Times New Roman" w:eastAsia="Calibri" w:hAnsi="Times New Roman" w:cs="Times New Roman"/>
          <w:sz w:val="24"/>
          <w:szCs w:val="24"/>
          <w:lang w:eastAsia="ar-SA"/>
        </w:rPr>
        <w:t xml:space="preserve">in </w:t>
      </w:r>
      <w:r w:rsidR="00050F4E" w:rsidRPr="00190976">
        <w:rPr>
          <w:rFonts w:ascii="Times New Roman" w:eastAsia="Calibri" w:hAnsi="Times New Roman" w:cs="Times New Roman"/>
          <w:sz w:val="24"/>
          <w:szCs w:val="24"/>
          <w:lang w:eastAsia="ar-SA"/>
        </w:rPr>
        <w:t xml:space="preserve">the </w:t>
      </w:r>
      <w:r w:rsidR="00C877E0">
        <w:rPr>
          <w:rFonts w:ascii="Times New Roman" w:eastAsia="Calibri" w:hAnsi="Times New Roman" w:cs="Times New Roman"/>
          <w:sz w:val="24"/>
          <w:szCs w:val="24"/>
          <w:lang w:eastAsia="ar-SA"/>
        </w:rPr>
        <w:t>European Solidarity Corps reporting and management tool on all activities realised under the project.</w:t>
      </w:r>
      <w:r w:rsidR="00C877E0" w:rsidRPr="00C121E5">
        <w:rPr>
          <w:rFonts w:ascii="Times New Roman" w:hAnsi="Times New Roman"/>
          <w:i/>
          <w:color w:val="4AA55B"/>
          <w:sz w:val="24"/>
          <w:szCs w:val="24"/>
          <w:lang w:val="en-US"/>
        </w:rPr>
        <w:t>]</w:t>
      </w:r>
      <w:r w:rsidR="00050F4E" w:rsidRPr="00190976">
        <w:rPr>
          <w:rFonts w:ascii="Times New Roman" w:eastAsia="Calibri" w:hAnsi="Times New Roman" w:cs="Times New Roman"/>
          <w:sz w:val="24"/>
          <w:szCs w:val="24"/>
          <w:lang w:eastAsia="ar-SA"/>
        </w:rPr>
        <w:t xml:space="preserve"> </w:t>
      </w:r>
    </w:p>
    <w:p w14:paraId="28FF170A" w14:textId="70587B4F" w:rsidR="001F269B" w:rsidRPr="005519F5" w:rsidRDefault="00050F4E" w:rsidP="00393596">
      <w:pPr>
        <w:pStyle w:val="Kop2"/>
        <w:numPr>
          <w:ilvl w:val="1"/>
          <w:numId w:val="81"/>
        </w:numPr>
        <w:rPr>
          <w:rFonts w:eastAsia="Calibri"/>
          <w:lang w:eastAsia="ar-SA"/>
        </w:rPr>
      </w:pPr>
      <w:r w:rsidRPr="005519F5">
        <w:rPr>
          <w:rFonts w:eastAsia="Calibri"/>
          <w:lang w:eastAsia="ar-SA"/>
        </w:rPr>
        <w:t xml:space="preserve">Coaching costs </w:t>
      </w:r>
    </w:p>
    <w:p w14:paraId="04DD4F21" w14:textId="6D7BB75E" w:rsidR="001F269B" w:rsidRPr="00C121E5" w:rsidRDefault="00C121E5" w:rsidP="00C121E5">
      <w:pPr>
        <w:spacing w:after="200" w:line="276" w:lineRule="auto"/>
        <w:jc w:val="both"/>
        <w:rPr>
          <w:rFonts w:ascii="Times New Roman" w:hAnsi="Times New Roman"/>
          <w:i/>
          <w:color w:val="4AA55B"/>
          <w:sz w:val="24"/>
          <w:szCs w:val="24"/>
          <w:lang w:val="en-US"/>
        </w:rPr>
      </w:pPr>
      <w:r>
        <w:rPr>
          <w:rFonts w:ascii="Times New Roman" w:eastAsia="Calibri" w:hAnsi="Times New Roman" w:cs="Times New Roman"/>
          <w:sz w:val="24"/>
          <w:szCs w:val="24"/>
          <w:lang w:eastAsia="ar-SA"/>
        </w:rPr>
        <w:t>N</w:t>
      </w:r>
      <w:r w:rsidR="001F269B" w:rsidRPr="00C121E5">
        <w:rPr>
          <w:rFonts w:ascii="Times New Roman" w:eastAsia="Calibri" w:hAnsi="Times New Roman" w:cs="Times New Roman"/>
          <w:sz w:val="24"/>
          <w:szCs w:val="24"/>
          <w:lang w:eastAsia="ar-SA"/>
        </w:rPr>
        <w:t>ot applicable</w:t>
      </w:r>
    </w:p>
    <w:p w14:paraId="19D47639" w14:textId="2B51B7CD" w:rsidR="00050F4E" w:rsidRDefault="00050F4E" w:rsidP="00393596">
      <w:pPr>
        <w:pStyle w:val="Kop2"/>
        <w:numPr>
          <w:ilvl w:val="1"/>
          <w:numId w:val="81"/>
        </w:numPr>
        <w:rPr>
          <w:rFonts w:eastAsia="Calibri"/>
          <w:lang w:eastAsia="ar-SA"/>
        </w:rPr>
      </w:pPr>
      <w:r w:rsidRPr="008A74F7">
        <w:rPr>
          <w:rFonts w:eastAsia="Calibri"/>
          <w:lang w:eastAsia="ar-SA"/>
        </w:rPr>
        <w:t xml:space="preserve">Inclusion support </w:t>
      </w:r>
    </w:p>
    <w:p w14:paraId="5462B4FE" w14:textId="55907DB1" w:rsidR="00F468CD" w:rsidRPr="00C121E5" w:rsidRDefault="00050F4E" w:rsidP="00F468CD">
      <w:pPr>
        <w:pStyle w:val="Lijstalinea"/>
        <w:numPr>
          <w:ilvl w:val="0"/>
          <w:numId w:val="67"/>
        </w:numPr>
        <w:suppressAutoHyphens/>
        <w:spacing w:after="0" w:line="276" w:lineRule="auto"/>
        <w:rPr>
          <w:rFonts w:eastAsia="SimSun"/>
          <w:szCs w:val="24"/>
          <w:u w:val="single"/>
          <w:lang w:eastAsia="ar-SA"/>
        </w:rPr>
      </w:pPr>
      <w:r w:rsidRPr="00C121E5">
        <w:rPr>
          <w:rFonts w:eastAsia="SimSun"/>
          <w:szCs w:val="24"/>
          <w:u w:val="single"/>
          <w:lang w:eastAsia="ar-SA"/>
        </w:rPr>
        <w:t xml:space="preserve">Calculation of the </w:t>
      </w:r>
      <w:r w:rsidR="009D4E3C" w:rsidRPr="00C121E5">
        <w:rPr>
          <w:rFonts w:eastAsia="Calibri"/>
          <w:szCs w:val="24"/>
          <w:u w:val="single"/>
          <w:lang w:eastAsia="ar-SA"/>
        </w:rPr>
        <w:t>total unit contribution</w:t>
      </w:r>
      <w:r w:rsidRPr="00C121E5">
        <w:rPr>
          <w:rFonts w:eastAsia="SimSun"/>
          <w:szCs w:val="24"/>
          <w:u w:val="single"/>
          <w:lang w:eastAsia="ar-SA"/>
        </w:rPr>
        <w:t xml:space="preserve">: </w:t>
      </w:r>
    </w:p>
    <w:p w14:paraId="2B54F501" w14:textId="77777777" w:rsidR="00F468CD" w:rsidRDefault="00F468CD" w:rsidP="00F468CD">
      <w:pPr>
        <w:suppressAutoHyphens/>
        <w:spacing w:after="0" w:line="276" w:lineRule="auto"/>
        <w:rPr>
          <w:rFonts w:eastAsia="SimSun"/>
          <w:szCs w:val="24"/>
          <w:lang w:eastAsia="ar-SA"/>
        </w:rPr>
      </w:pPr>
    </w:p>
    <w:p w14:paraId="06C830DE" w14:textId="395E3E3C"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T</w:t>
      </w:r>
      <w:r w:rsidR="00050F4E" w:rsidRPr="00F468C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F468CD">
        <w:rPr>
          <w:rFonts w:ascii="Times New Roman" w:eastAsia="SimSun" w:hAnsi="Times New Roman" w:cs="Times New Roman"/>
          <w:sz w:val="24"/>
          <w:szCs w:val="24"/>
          <w:lang w:eastAsia="ar-SA"/>
        </w:rPr>
        <w:t xml:space="preserve"> is calculated by multiplying </w:t>
      </w:r>
      <w:r w:rsidR="00FA6668" w:rsidRPr="002A7DE8">
        <w:rPr>
          <w:rFonts w:ascii="Times New Roman" w:eastAsia="SimSun" w:hAnsi="Times New Roman" w:cs="Times New Roman"/>
          <w:sz w:val="24"/>
          <w:szCs w:val="24"/>
          <w:lang w:eastAsia="ar-SA"/>
        </w:rPr>
        <w:t xml:space="preserve">the number of activity days of each participant with fewer opportunities by the unit contribution applicable for the relevant host country, as specified in </w:t>
      </w:r>
      <w:r w:rsidR="002F0B33">
        <w:rPr>
          <w:rFonts w:ascii="Times New Roman" w:eastAsia="SimSun" w:hAnsi="Times New Roman" w:cs="Times New Roman"/>
          <w:sz w:val="24"/>
          <w:szCs w:val="24"/>
          <w:lang w:eastAsia="ar-SA"/>
        </w:rPr>
        <w:t xml:space="preserve">Annex </w:t>
      </w:r>
      <w:r w:rsidR="00C02844">
        <w:rPr>
          <w:rFonts w:ascii="Times New Roman" w:eastAsia="SimSun" w:hAnsi="Times New Roman" w:cs="Times New Roman"/>
          <w:sz w:val="24"/>
          <w:szCs w:val="24"/>
          <w:lang w:eastAsia="ar-SA"/>
        </w:rPr>
        <w:t>3</w:t>
      </w:r>
      <w:r w:rsidR="00FA6668" w:rsidRPr="002A7DE8">
        <w:rPr>
          <w:rFonts w:ascii="Times New Roman" w:eastAsia="SimSun" w:hAnsi="Times New Roman" w:cs="Times New Roman"/>
          <w:sz w:val="24"/>
          <w:szCs w:val="24"/>
          <w:lang w:eastAsia="ar-SA"/>
        </w:rPr>
        <w:t xml:space="preserve"> of the Agreement. One travel day before the activity and one travel day following the activity, and up to four additional days for participants receiving a green travel grant may be included in the calculation. The calculation must exclude accompanying persons.</w:t>
      </w:r>
      <w:r w:rsidR="00FA6668" w:rsidRPr="00F468CD" w:rsidDel="00FA6668">
        <w:rPr>
          <w:rFonts w:ascii="Times New Roman" w:eastAsia="SimSun" w:hAnsi="Times New Roman" w:cs="Times New Roman"/>
          <w:sz w:val="24"/>
          <w:szCs w:val="24"/>
          <w:lang w:eastAsia="ar-SA"/>
        </w:rPr>
        <w:t xml:space="preserve">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FE6D91">
      <w:pPr>
        <w:pStyle w:val="Lijstalinea"/>
        <w:numPr>
          <w:ilvl w:val="0"/>
          <w:numId w:val="67"/>
        </w:numPr>
        <w:suppressAutoHyphens/>
        <w:spacing w:line="276" w:lineRule="auto"/>
        <w:rPr>
          <w:rFonts w:eastAsia="SimSun"/>
          <w:szCs w:val="24"/>
          <w:u w:val="single"/>
          <w:lang w:eastAsia="ar-SA"/>
        </w:rPr>
      </w:pPr>
      <w:r w:rsidRPr="00F468CD">
        <w:rPr>
          <w:rFonts w:eastAsia="SimSun"/>
          <w:szCs w:val="24"/>
          <w:u w:val="single"/>
          <w:lang w:eastAsia="ar-SA"/>
        </w:rPr>
        <w:t xml:space="preserve">Triggering event: </w:t>
      </w:r>
    </w:p>
    <w:p w14:paraId="213714A5" w14:textId="2040D4F4" w:rsidR="00C121E5" w:rsidRDefault="00C02844" w:rsidP="00C121E5">
      <w:pPr>
        <w:suppressAutoHyphens/>
        <w:spacing w:after="12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lastRenderedPageBreak/>
        <w:t xml:space="preserve">The </w:t>
      </w:r>
      <w:r>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00BB793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Pr>
          <w:rFonts w:eastAsia="SimSun"/>
          <w:szCs w:val="24"/>
          <w:lang w:eastAsia="ar-SA"/>
        </w:rPr>
        <w:t>.</w:t>
      </w:r>
    </w:p>
    <w:p w14:paraId="03E46761" w14:textId="1C1F89EA" w:rsidR="00546C4D" w:rsidRDefault="00546C4D" w:rsidP="00C121E5">
      <w:pPr>
        <w:pStyle w:val="Lijstalinea"/>
        <w:numPr>
          <w:ilvl w:val="0"/>
          <w:numId w:val="67"/>
        </w:numPr>
        <w:suppressAutoHyphens/>
        <w:spacing w:line="276" w:lineRule="auto"/>
        <w:rPr>
          <w:rFonts w:eastAsia="SimSun"/>
          <w:szCs w:val="24"/>
          <w:u w:val="single"/>
          <w:lang w:eastAsia="ar-SA"/>
        </w:rPr>
      </w:pPr>
      <w:r w:rsidRPr="00F640CD">
        <w:rPr>
          <w:rFonts w:eastAsia="SimSun"/>
          <w:szCs w:val="24"/>
          <w:u w:val="single"/>
          <w:lang w:eastAsia="ar-SA"/>
        </w:rPr>
        <w:t>Support</w:t>
      </w:r>
      <w:r w:rsidR="001247F3">
        <w:rPr>
          <w:rFonts w:eastAsia="SimSun"/>
          <w:szCs w:val="24"/>
          <w:u w:val="single"/>
          <w:lang w:eastAsia="ar-SA"/>
        </w:rPr>
        <w:t>ing</w:t>
      </w:r>
      <w:r w:rsidRPr="00F640CD">
        <w:rPr>
          <w:rFonts w:eastAsia="SimSun"/>
          <w:szCs w:val="24"/>
          <w:u w:val="single"/>
          <w:lang w:eastAsia="ar-SA"/>
        </w:rPr>
        <w:t xml:space="preserve"> documents:</w:t>
      </w:r>
    </w:p>
    <w:p w14:paraId="4FA0221E" w14:textId="40F9FD6A" w:rsidR="00C02844" w:rsidRPr="00393596" w:rsidRDefault="007D171E">
      <w:pPr>
        <w:suppressAutoHyphens/>
        <w:spacing w:after="240" w:line="276" w:lineRule="auto"/>
        <w:jc w:val="both"/>
        <w:rPr>
          <w:rFonts w:ascii="Times New Roman" w:eastAsia="SimSun" w:hAnsi="Times New Roman" w:cs="Times New Roman"/>
          <w:sz w:val="24"/>
          <w:szCs w:val="24"/>
          <w:lang w:eastAsia="ar-SA"/>
        </w:rPr>
      </w:pPr>
      <w:r w:rsidRPr="00393596">
        <w:rPr>
          <w:rFonts w:ascii="Times New Roman" w:eastAsia="SimSun" w:hAnsi="Times New Roman" w:cs="Times New Roman"/>
          <w:sz w:val="24"/>
          <w:szCs w:val="24"/>
          <w:lang w:eastAsia="ar-SA"/>
        </w:rPr>
        <w:t xml:space="preserve">Proof of implementation of the additional measures and activities undertaken to promote social inclusion will be required, in the form of a description of these measures in the final report. </w:t>
      </w:r>
    </w:p>
    <w:p w14:paraId="59C8835A" w14:textId="5091E998" w:rsidR="00C121E5" w:rsidRPr="00393596" w:rsidRDefault="007D171E">
      <w:pPr>
        <w:suppressAutoHyphens/>
        <w:spacing w:after="240" w:line="276" w:lineRule="auto"/>
        <w:jc w:val="both"/>
        <w:rPr>
          <w:rFonts w:ascii="Times New Roman" w:eastAsia="Times New Roman" w:hAnsi="Times New Roman" w:cs="Times New Roman"/>
          <w:i/>
          <w:color w:val="4AA55B"/>
          <w:sz w:val="24"/>
          <w:szCs w:val="24"/>
          <w:shd w:val="clear" w:color="auto" w:fill="CCFFFF"/>
        </w:rPr>
      </w:pPr>
      <w:r w:rsidRPr="00393596">
        <w:rPr>
          <w:rFonts w:ascii="Times New Roman" w:eastAsia="SimSun" w:hAnsi="Times New Roman" w:cs="Times New Roman"/>
          <w:sz w:val="24"/>
          <w:szCs w:val="24"/>
          <w:lang w:eastAsia="ar-SA"/>
        </w:rPr>
        <w:t>Proof of attendance of the activity in the form of a declaration signed by the participant and the host organisation specifying: the name of the participant, the host organisation, the purpose of the activity, venue, starting and end dates</w:t>
      </w:r>
      <w:r w:rsidR="00CD5CC9">
        <w:rPr>
          <w:rFonts w:ascii="Times New Roman" w:eastAsia="SimSun" w:hAnsi="Times New Roman" w:cs="Times New Roman"/>
          <w:sz w:val="24"/>
          <w:szCs w:val="24"/>
          <w:lang w:eastAsia="ar-SA"/>
        </w:rPr>
        <w:t>.</w:t>
      </w:r>
    </w:p>
    <w:p w14:paraId="5BF7CE5A" w14:textId="2E2EE358" w:rsidR="007D171E" w:rsidRDefault="007D171E" w:rsidP="00C121E5">
      <w:pPr>
        <w:pStyle w:val="Lijstalinea"/>
        <w:numPr>
          <w:ilvl w:val="0"/>
          <w:numId w:val="67"/>
        </w:numPr>
        <w:suppressAutoHyphens/>
        <w:spacing w:line="276" w:lineRule="auto"/>
        <w:rPr>
          <w:rFonts w:eastAsia="SimSun"/>
          <w:szCs w:val="24"/>
          <w:u w:val="single"/>
          <w:lang w:eastAsia="ar-SA"/>
        </w:rPr>
      </w:pPr>
      <w:r>
        <w:rPr>
          <w:rFonts w:eastAsia="SimSun"/>
          <w:szCs w:val="24"/>
          <w:u w:val="single"/>
          <w:lang w:eastAsia="ar-SA"/>
        </w:rPr>
        <w:t>Reporting:</w:t>
      </w:r>
    </w:p>
    <w:p w14:paraId="4C20356E" w14:textId="2A12DD47"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 xml:space="preserve">The beneficiary must report in the European Solidarity Corps reporting and management tool on all activities </w:t>
      </w:r>
      <w:r w:rsidR="003A641A" w:rsidRPr="003A641A">
        <w:rPr>
          <w:rFonts w:ascii="Times New Roman" w:eastAsia="Times New Roman" w:hAnsi="Times New Roman" w:cs="Times New Roman"/>
          <w:color w:val="000000"/>
          <w:sz w:val="24"/>
          <w:szCs w:val="24"/>
          <w:lang w:eastAsia="ar-SA"/>
        </w:rPr>
        <w:t xml:space="preserve">involving participants with fewer opportunities </w:t>
      </w:r>
      <w:r w:rsidRPr="002A7DE8">
        <w:rPr>
          <w:rFonts w:ascii="Times New Roman" w:eastAsia="Times New Roman" w:hAnsi="Times New Roman" w:cs="Times New Roman"/>
          <w:color w:val="000000"/>
          <w:sz w:val="24"/>
          <w:szCs w:val="24"/>
          <w:lang w:eastAsia="ar-SA"/>
        </w:rPr>
        <w:t>realised under the project.</w:t>
      </w:r>
    </w:p>
    <w:p w14:paraId="79405CED" w14:textId="283818C5"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The beneficiary must report in the European Solidarity Corps reporting and management tool on the barriers faced by the participant as well as on the measures and activities carried out to support his/her participation.</w:t>
      </w:r>
    </w:p>
    <w:p w14:paraId="0DA22B09" w14:textId="6FA4FA76" w:rsidR="00054A9E" w:rsidRDefault="006A5213" w:rsidP="006A5213">
      <w:pPr>
        <w:pStyle w:val="Kop2"/>
        <w:ind w:left="0" w:firstLine="0"/>
        <w:rPr>
          <w:rFonts w:ascii="Times New Roman" w:eastAsia="Calibri" w:hAnsi="Times New Roman" w:cs="Times New Roman"/>
          <w:szCs w:val="24"/>
          <w:lang w:eastAsia="ar-SA"/>
        </w:rPr>
      </w:pPr>
      <w:r w:rsidRPr="006A5213">
        <w:rPr>
          <w:rFonts w:eastAsia="Calibri"/>
          <w:b w:val="0"/>
          <w:bCs w:val="0"/>
          <w:lang w:eastAsia="ar-SA"/>
        </w:rPr>
        <w:t>1.</w:t>
      </w:r>
      <w:r w:rsidR="005519F5">
        <w:rPr>
          <w:rFonts w:eastAsia="Calibri"/>
          <w:lang w:eastAsia="ar-SA"/>
        </w:rPr>
        <w:t>7</w:t>
      </w:r>
      <w:r>
        <w:rPr>
          <w:rFonts w:eastAsia="Calibri"/>
          <w:lang w:eastAsia="ar-SA"/>
        </w:rPr>
        <w:t xml:space="preserve"> </w:t>
      </w:r>
      <w:r w:rsidR="004820A9" w:rsidRPr="00AF1DF9">
        <w:rPr>
          <w:rFonts w:eastAsia="Calibri"/>
          <w:lang w:eastAsia="ar-SA"/>
        </w:rPr>
        <w:t>L</w:t>
      </w:r>
      <w:r w:rsidR="004820A9">
        <w:rPr>
          <w:rFonts w:eastAsia="Calibri"/>
          <w:lang w:eastAsia="ar-SA"/>
        </w:rPr>
        <w:t xml:space="preserve">anguage </w:t>
      </w:r>
      <w:r w:rsidR="006112FF">
        <w:rPr>
          <w:rFonts w:eastAsia="Calibri"/>
          <w:lang w:eastAsia="ar-SA"/>
        </w:rPr>
        <w:t>l</w:t>
      </w:r>
      <w:r w:rsidR="004820A9">
        <w:rPr>
          <w:rFonts w:eastAsia="Calibri"/>
          <w:lang w:eastAsia="ar-SA"/>
        </w:rPr>
        <w:t>earning</w:t>
      </w:r>
      <w:r w:rsidR="004820A9" w:rsidRPr="00AF1DF9">
        <w:rPr>
          <w:rFonts w:eastAsia="Calibri"/>
          <w:lang w:eastAsia="ar-SA"/>
        </w:rPr>
        <w:t xml:space="preserve"> </w:t>
      </w:r>
      <w:r w:rsidR="006112FF">
        <w:rPr>
          <w:rFonts w:eastAsia="Calibri"/>
          <w:lang w:eastAsia="ar-SA"/>
        </w:rPr>
        <w:t>s</w:t>
      </w:r>
      <w:r w:rsidR="00050F4E" w:rsidRPr="00AF1DF9">
        <w:rPr>
          <w:rFonts w:eastAsia="Calibri"/>
          <w:lang w:eastAsia="ar-SA"/>
        </w:rPr>
        <w:t>upport</w:t>
      </w:r>
      <w:r w:rsidR="00050F4E" w:rsidRPr="002F37CC">
        <w:rPr>
          <w:rFonts w:ascii="Times New Roman" w:eastAsia="Calibri" w:hAnsi="Times New Roman" w:cs="Times New Roman"/>
          <w:szCs w:val="24"/>
          <w:lang w:eastAsia="ar-SA"/>
        </w:rPr>
        <w:t xml:space="preserve"> </w:t>
      </w:r>
    </w:p>
    <w:p w14:paraId="52F30CE0" w14:textId="6E1ADBC7" w:rsidR="006A5213" w:rsidRPr="006A5213" w:rsidRDefault="006A5213" w:rsidP="006A5213">
      <w:pPr>
        <w:tabs>
          <w:tab w:val="left" w:pos="851"/>
        </w:tabs>
        <w:jc w:val="both"/>
        <w:rPr>
          <w:rFonts w:ascii="Times New Roman" w:hAnsi="Times New Roman"/>
          <w:sz w:val="24"/>
          <w:szCs w:val="24"/>
        </w:rPr>
      </w:pPr>
      <w:r w:rsidRPr="005C21C6">
        <w:rPr>
          <w:rFonts w:ascii="Times New Roman" w:hAnsi="Times New Roman"/>
          <w:sz w:val="24"/>
          <w:szCs w:val="24"/>
        </w:rPr>
        <w:t>For cross-border activities this unit cost is eligible only for languages and/or levels not offered by the Online Language Support</w:t>
      </w:r>
      <w:r w:rsidR="006112FF">
        <w:rPr>
          <w:rFonts w:ascii="Times New Roman" w:hAnsi="Times New Roman"/>
          <w:sz w:val="24"/>
          <w:szCs w:val="24"/>
        </w:rPr>
        <w:t xml:space="preserve"> tool</w:t>
      </w:r>
      <w:r w:rsidRPr="005C21C6">
        <w:rPr>
          <w:rFonts w:ascii="Times New Roman" w:hAnsi="Times New Roman"/>
          <w:sz w:val="24"/>
          <w:szCs w:val="24"/>
        </w:rPr>
        <w:t>.</w:t>
      </w:r>
      <w:r>
        <w:t xml:space="preserve"> </w:t>
      </w:r>
    </w:p>
    <w:p w14:paraId="322AB8F5" w14:textId="5053732E" w:rsidR="00E34B20" w:rsidRPr="00E34B20" w:rsidRDefault="00050F4E" w:rsidP="00E34B20">
      <w:pPr>
        <w:pStyle w:val="Lijstalinea"/>
        <w:numPr>
          <w:ilvl w:val="0"/>
          <w:numId w:val="21"/>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236692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w:t>
      </w:r>
      <w:r w:rsidR="002F0B33">
        <w:rPr>
          <w:rFonts w:ascii="Times New Roman" w:eastAsia="Calibri" w:hAnsi="Times New Roman" w:cs="Times New Roman"/>
          <w:sz w:val="24"/>
          <w:szCs w:val="24"/>
          <w:lang w:eastAsia="ar-SA"/>
        </w:rPr>
        <w:t xml:space="preserve">Annex </w:t>
      </w:r>
      <w:r w:rsidR="005519F5">
        <w:rPr>
          <w:rFonts w:ascii="Times New Roman" w:eastAsia="Calibri" w:hAnsi="Times New Roman" w:cs="Times New Roman"/>
          <w:sz w:val="24"/>
          <w:szCs w:val="24"/>
          <w:lang w:eastAsia="ar-SA"/>
        </w:rPr>
        <w:t>3</w:t>
      </w:r>
      <w:r w:rsidR="00050F4E" w:rsidRPr="00E34B20">
        <w:rPr>
          <w:rFonts w:ascii="Times New Roman" w:eastAsia="Calibri" w:hAnsi="Times New Roman" w:cs="Times New Roman"/>
          <w:sz w:val="24"/>
          <w:szCs w:val="24"/>
          <w:lang w:eastAsia="ar-SA"/>
        </w:rPr>
        <w:t xml:space="preserve"> of the Agreement. Participants that have </w:t>
      </w:r>
      <w:r w:rsidR="00BB7932">
        <w:rPr>
          <w:rFonts w:ascii="Times New Roman" w:eastAsia="Calibri" w:hAnsi="Times New Roman" w:cs="Times New Roman"/>
          <w:sz w:val="24"/>
          <w:szCs w:val="24"/>
          <w:lang w:eastAsia="ar-SA"/>
        </w:rPr>
        <w:t>used</w:t>
      </w:r>
      <w:r w:rsidR="00BB7932"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Online Linguistic Support</w:t>
      </w:r>
      <w:r w:rsidR="00BB7932">
        <w:rPr>
          <w:rFonts w:ascii="Times New Roman" w:eastAsia="Calibri" w:hAnsi="Times New Roman" w:cs="Times New Roman"/>
          <w:sz w:val="24"/>
          <w:szCs w:val="24"/>
          <w:lang w:eastAsia="ar-SA"/>
        </w:rPr>
        <w:t xml:space="preserve"> (OLS) courses</w:t>
      </w:r>
      <w:r w:rsidR="00050F4E" w:rsidRPr="00E34B20">
        <w:rPr>
          <w:rFonts w:ascii="Times New Roman" w:eastAsia="Calibri" w:hAnsi="Times New Roman" w:cs="Times New Roman"/>
          <w:sz w:val="24"/>
          <w:szCs w:val="24"/>
          <w:lang w:eastAsia="ar-SA"/>
        </w:rPr>
        <w:t xml:space="preserve"> will be excluded from this calculation. </w:t>
      </w:r>
      <w:r w:rsidR="00541E21" w:rsidRPr="00541E21">
        <w:rPr>
          <w:rFonts w:ascii="Times New Roman" w:eastAsia="Calibri" w:hAnsi="Times New Roman" w:cs="Times New Roman"/>
          <w:sz w:val="24"/>
          <w:szCs w:val="24"/>
          <w:lang w:eastAsia="ar-SA"/>
        </w:rPr>
        <w:t>If  the result  of  OLS  assessment</w:t>
      </w:r>
      <w:r w:rsidR="00562065">
        <w:rPr>
          <w:rFonts w:ascii="Times New Roman" w:eastAsia="Calibri" w:hAnsi="Times New Roman" w:cs="Times New Roman"/>
          <w:sz w:val="24"/>
          <w:szCs w:val="24"/>
          <w:lang w:eastAsia="ar-SA"/>
        </w:rPr>
        <w:t xml:space="preserve"> (OLS Placement Test)</w:t>
      </w:r>
      <w:r w:rsidR="00541E21" w:rsidRPr="00541E21">
        <w:rPr>
          <w:rFonts w:ascii="Times New Roman" w:eastAsia="Calibri" w:hAnsi="Times New Roman" w:cs="Times New Roman"/>
          <w:sz w:val="24"/>
          <w:szCs w:val="24"/>
          <w:lang w:eastAsia="ar-SA"/>
        </w:rPr>
        <w:t xml:space="preserve">  shows  that  a  participant’s  level  in required  language  is  not  covered  by  OLS,  this  result  will  be considered  as  sufficient  justification  to  claim  the  linguistic support unit contribution, as specified by the Programme Guide. </w:t>
      </w:r>
      <w:r w:rsidR="00050F4E" w:rsidRPr="00E34B20">
        <w:rPr>
          <w:rFonts w:ascii="Times New Roman" w:eastAsia="Calibri" w:hAnsi="Times New Roman" w:cs="Times New Roman"/>
          <w:sz w:val="24"/>
          <w:szCs w:val="24"/>
          <w:lang w:eastAsia="ar-SA"/>
        </w:rPr>
        <w:t xml:space="preserve">Learners in </w:t>
      </w:r>
      <w:r w:rsidR="00985316">
        <w:rPr>
          <w:rFonts w:ascii="Times New Roman" w:eastAsia="Calibri" w:hAnsi="Times New Roman" w:cs="Times New Roman"/>
          <w:sz w:val="24"/>
          <w:szCs w:val="24"/>
          <w:lang w:eastAsia="ar-SA"/>
        </w:rPr>
        <w:t xml:space="preserve">a </w:t>
      </w:r>
      <w:r w:rsidR="00050F4E" w:rsidRPr="00E34B20">
        <w:rPr>
          <w:rFonts w:ascii="Times New Roman" w:eastAsia="Calibri" w:hAnsi="Times New Roman" w:cs="Times New Roman"/>
          <w:sz w:val="24"/>
          <w:szCs w:val="24"/>
          <w:lang w:eastAsia="ar-SA"/>
        </w:rPr>
        <w:t xml:space="preserve">long-term </w:t>
      </w:r>
      <w:r w:rsidR="00985316">
        <w:rPr>
          <w:rFonts w:ascii="Times New Roman" w:eastAsia="Calibri" w:hAnsi="Times New Roman" w:cs="Times New Roman"/>
          <w:sz w:val="24"/>
          <w:szCs w:val="24"/>
          <w:lang w:eastAsia="ar-SA"/>
        </w:rPr>
        <w:t>volunteering activity</w:t>
      </w:r>
      <w:r w:rsidR="00985316"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 xml:space="preserve">will receive further linguistic support equivalent to the same unit contribution as specified in </w:t>
      </w:r>
      <w:r w:rsidR="002F0B33">
        <w:rPr>
          <w:rFonts w:ascii="Times New Roman" w:eastAsia="Calibri" w:hAnsi="Times New Roman" w:cs="Times New Roman"/>
          <w:sz w:val="24"/>
          <w:szCs w:val="24"/>
          <w:lang w:eastAsia="ar-SA"/>
        </w:rPr>
        <w:t xml:space="preserve">Annex </w:t>
      </w:r>
      <w:r w:rsidR="005519F5">
        <w:rPr>
          <w:rFonts w:ascii="Times New Roman" w:eastAsia="Calibri" w:hAnsi="Times New Roman" w:cs="Times New Roman"/>
          <w:sz w:val="24"/>
          <w:szCs w:val="24"/>
          <w:lang w:eastAsia="ar-SA"/>
        </w:rPr>
        <w:t>3</w:t>
      </w:r>
      <w:r w:rsidR="00050F4E" w:rsidRPr="00E34B20">
        <w:rPr>
          <w:rFonts w:ascii="Times New Roman" w:eastAsia="Calibri" w:hAnsi="Times New Roman" w:cs="Times New Roman"/>
          <w:sz w:val="24"/>
          <w:szCs w:val="24"/>
          <w:lang w:eastAsia="ar-SA"/>
        </w:rPr>
        <w:t xml:space="preserve">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54721276"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00541E21">
        <w:rPr>
          <w:rFonts w:ascii="Times New Roman" w:eastAsia="Calibri" w:hAnsi="Times New Roman" w:cs="Times New Roman"/>
          <w:sz w:val="24"/>
          <w:szCs w:val="24"/>
          <w:lang w:eastAsia="ar-SA"/>
        </w:rPr>
        <w:t xml:space="preserve">eligible </w:t>
      </w:r>
      <w:r w:rsidRPr="00F468CD">
        <w:rPr>
          <w:rFonts w:ascii="Times New Roman" w:eastAsia="Calibri" w:hAnsi="Times New Roman" w:cs="Times New Roman"/>
          <w:sz w:val="24"/>
          <w:szCs w:val="24"/>
          <w:lang w:eastAsia="ar-SA"/>
        </w:rPr>
        <w:t>if</w:t>
      </w:r>
      <w:r w:rsidRPr="00F468CD">
        <w:rPr>
          <w:rFonts w:ascii="Times New Roman" w:eastAsia="SimSun" w:hAnsi="Times New Roman" w:cs="Times New Roman"/>
          <w:sz w:val="24"/>
          <w:szCs w:val="24"/>
          <w:lang w:eastAsia="ar-SA"/>
        </w:rPr>
        <w:t xml:space="preserve"> the participant has actually </w:t>
      </w:r>
      <w:r w:rsidR="00541E21">
        <w:rPr>
          <w:rFonts w:ascii="Times New Roman" w:eastAsia="SimSun" w:hAnsi="Times New Roman" w:cs="Times New Roman"/>
          <w:sz w:val="24"/>
          <w:szCs w:val="24"/>
          <w:lang w:eastAsia="ar-SA"/>
        </w:rPr>
        <w:t>received</w:t>
      </w:r>
      <w:r w:rsidR="00050F4E" w:rsidRPr="00FF5388">
        <w:rPr>
          <w:rFonts w:ascii="Times New Roman" w:eastAsia="Calibri" w:hAnsi="Times New Roman" w:cs="Times New Roman"/>
          <w:sz w:val="24"/>
          <w:szCs w:val="24"/>
          <w:lang w:eastAsia="ar-SA"/>
        </w:rPr>
        <w:t xml:space="preserve"> language </w:t>
      </w:r>
      <w:r w:rsidR="00541E21">
        <w:rPr>
          <w:rFonts w:ascii="Times New Roman" w:eastAsia="Calibri" w:hAnsi="Times New Roman" w:cs="Times New Roman"/>
          <w:sz w:val="24"/>
          <w:szCs w:val="24"/>
          <w:lang w:eastAsia="ar-SA"/>
        </w:rPr>
        <w:t>learning support</w:t>
      </w:r>
      <w:r w:rsidR="00050F4E" w:rsidRPr="00FF5388">
        <w:rPr>
          <w:rFonts w:ascii="Times New Roman" w:eastAsia="Calibri" w:hAnsi="Times New Roman" w:cs="Times New Roman"/>
          <w:sz w:val="24"/>
          <w:szCs w:val="24"/>
          <w:lang w:eastAsia="ar-SA"/>
        </w:rPr>
        <w:t>.</w:t>
      </w:r>
    </w:p>
    <w:p w14:paraId="5603E0CA" w14:textId="77777777" w:rsidR="00050F4E" w:rsidRPr="00DE5A5F"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78644665" w14:textId="745FCC59" w:rsidR="00591640" w:rsidRDefault="00541E21" w:rsidP="00DE5A5F">
      <w:pPr>
        <w:suppressAutoHyphens/>
        <w:spacing w:after="200" w:line="276" w:lineRule="auto"/>
        <w:jc w:val="both"/>
        <w:rPr>
          <w:rFonts w:ascii="Times New Roman" w:hAnsi="Times New Roman"/>
          <w:i/>
          <w:color w:val="4AA55B"/>
          <w:sz w:val="24"/>
          <w:szCs w:val="24"/>
          <w:lang w:val="en-US"/>
        </w:rPr>
      </w:pPr>
      <w:r w:rsidRPr="00541E21">
        <w:rPr>
          <w:rFonts w:ascii="Times New Roman" w:eastAsia="Calibri" w:hAnsi="Times New Roman" w:cs="Times New Roman"/>
          <w:sz w:val="24"/>
          <w:szCs w:val="24"/>
          <w:lang w:eastAsia="ar-SA"/>
        </w:rPr>
        <w:lastRenderedPageBreak/>
        <w:t xml:space="preserve">The supporting  document  is </w:t>
      </w:r>
      <w:r w:rsidR="00050F4E" w:rsidRPr="00DE5A5F">
        <w:rPr>
          <w:rFonts w:ascii="Times New Roman" w:eastAsia="Calibri" w:hAnsi="Times New Roman" w:cs="Times New Roman"/>
          <w:sz w:val="24"/>
          <w:szCs w:val="24"/>
          <w:lang w:eastAsia="ar-SA"/>
        </w:rPr>
        <w:t xml:space="preserve">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5519F5" w:rsidRPr="005519F5">
        <w:rPr>
          <w:rFonts w:ascii="Times New Roman" w:hAnsi="Times New Roman"/>
          <w:i/>
          <w:color w:val="4AA55B"/>
          <w:sz w:val="24"/>
          <w:szCs w:val="24"/>
          <w:lang w:val="en-US"/>
        </w:rPr>
        <w:t xml:space="preserve"> </w:t>
      </w:r>
    </w:p>
    <w:p w14:paraId="2080DEDB" w14:textId="77777777" w:rsidR="00591640" w:rsidRPr="00F85A69" w:rsidRDefault="00591640" w:rsidP="00F85A69">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F85A69">
        <w:rPr>
          <w:rFonts w:ascii="Times New Roman" w:eastAsia="Calibri" w:hAnsi="Times New Roman" w:cs="Times New Roman"/>
          <w:sz w:val="24"/>
          <w:szCs w:val="24"/>
          <w:u w:val="single"/>
          <w:lang w:eastAsia="ar-SA"/>
        </w:rPr>
        <w:t xml:space="preserve">d) Reporting: </w:t>
      </w:r>
    </w:p>
    <w:p w14:paraId="22BE2408" w14:textId="5E3C4E09" w:rsidR="00050F4E" w:rsidRDefault="00591640" w:rsidP="00DE5A5F">
      <w:pPr>
        <w:suppressAutoHyphens/>
        <w:spacing w:after="200" w:line="276" w:lineRule="auto"/>
        <w:jc w:val="both"/>
        <w:rPr>
          <w:rFonts w:ascii="Times New Roman" w:eastAsia="Calibri" w:hAnsi="Times New Roman" w:cs="Times New Roman"/>
          <w:sz w:val="24"/>
          <w:szCs w:val="24"/>
          <w:lang w:eastAsia="ar-SA"/>
        </w:rPr>
      </w:pPr>
      <w:r w:rsidRPr="00F85A69">
        <w:rPr>
          <w:rFonts w:ascii="Times New Roman" w:eastAsia="Calibri" w:hAnsi="Times New Roman" w:cs="Times New Roman"/>
          <w:sz w:val="24"/>
          <w:szCs w:val="24"/>
          <w:lang w:eastAsia="ar-SA"/>
        </w:rPr>
        <w:t>The beneficiary must report on participants that have used linguistic support grants and OLS.</w:t>
      </w:r>
    </w:p>
    <w:p w14:paraId="17723254" w14:textId="76A5B98A" w:rsidR="00050F4E" w:rsidRDefault="00AF1DF9" w:rsidP="00AF1DF9">
      <w:pPr>
        <w:pStyle w:val="Kop2"/>
        <w:ind w:left="0" w:firstLine="0"/>
        <w:rPr>
          <w:rFonts w:eastAsia="Calibri"/>
          <w:lang w:eastAsia="ar-SA"/>
        </w:rPr>
      </w:pPr>
      <w:r>
        <w:rPr>
          <w:rFonts w:eastAsia="Calibri"/>
          <w:lang w:eastAsia="ar-SA"/>
        </w:rPr>
        <w:t>1.</w:t>
      </w:r>
      <w:r w:rsidR="005519F5">
        <w:rPr>
          <w:rFonts w:eastAsia="Calibri"/>
          <w:lang w:eastAsia="ar-SA"/>
        </w:rPr>
        <w:t>8</w:t>
      </w:r>
      <w:r w:rsidR="00050F4E" w:rsidRPr="00AF1DF9">
        <w:rPr>
          <w:rFonts w:eastAsia="Calibri"/>
          <w:lang w:eastAsia="ar-SA"/>
        </w:rPr>
        <w:t xml:space="preserve"> Preparatory visits</w:t>
      </w:r>
    </w:p>
    <w:p w14:paraId="5B18A8C7" w14:textId="1F5C741F" w:rsidR="00B60017" w:rsidRPr="00B60017" w:rsidRDefault="00050F4E" w:rsidP="007D171E">
      <w:pPr>
        <w:pStyle w:val="Lijstalinea"/>
        <w:numPr>
          <w:ilvl w:val="0"/>
          <w:numId w:val="69"/>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3B2D390A" w14:textId="0FF4D818" w:rsidR="00050F4E" w:rsidRDefault="007D171E" w:rsidP="00393596">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7D171E">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total unit contribution</w:t>
      </w:r>
      <w:r w:rsidRPr="007D171E">
        <w:rPr>
          <w:rFonts w:ascii="Times New Roman" w:eastAsia="SimSun" w:hAnsi="Times New Roman" w:cs="Times New Roman"/>
          <w:sz w:val="24"/>
          <w:szCs w:val="24"/>
          <w:lang w:eastAsia="ar-SA"/>
        </w:rPr>
        <w:t xml:space="preserve"> is calculated by multiplying the total number of persons participating in preparatory visits by the unit contribution applicable, as specified in </w:t>
      </w:r>
      <w:r w:rsidR="002F0B33">
        <w:rPr>
          <w:rFonts w:ascii="Times New Roman" w:eastAsia="SimSun" w:hAnsi="Times New Roman" w:cs="Times New Roman"/>
          <w:sz w:val="24"/>
          <w:szCs w:val="24"/>
          <w:lang w:eastAsia="ar-SA"/>
        </w:rPr>
        <w:t xml:space="preserve">Annex </w:t>
      </w:r>
      <w:r w:rsidR="009F205D">
        <w:rPr>
          <w:rFonts w:ascii="Times New Roman" w:eastAsia="SimSun" w:hAnsi="Times New Roman" w:cs="Times New Roman"/>
          <w:sz w:val="24"/>
          <w:szCs w:val="24"/>
          <w:lang w:eastAsia="ar-SA"/>
        </w:rPr>
        <w:t>3</w:t>
      </w:r>
      <w:r w:rsidRPr="007D171E">
        <w:rPr>
          <w:rFonts w:ascii="Times New Roman" w:eastAsia="SimSun" w:hAnsi="Times New Roman" w:cs="Times New Roman"/>
          <w:sz w:val="24"/>
          <w:szCs w:val="24"/>
          <w:lang w:eastAsia="ar-SA"/>
        </w:rPr>
        <w:t xml:space="preserve"> of the Agreement.</w:t>
      </w:r>
    </w:p>
    <w:p w14:paraId="52DC4560" w14:textId="77777777" w:rsidR="006258A0" w:rsidRPr="0065476B" w:rsidRDefault="006258A0" w:rsidP="00050F4E">
      <w:pPr>
        <w:suppressAutoHyphens/>
        <w:spacing w:after="0" w:line="276" w:lineRule="auto"/>
        <w:rPr>
          <w:rFonts w:ascii="Times New Roman" w:eastAsia="Calibri" w:hAnsi="Times New Roman" w:cs="Times New Roman"/>
          <w:sz w:val="24"/>
          <w:szCs w:val="24"/>
          <w:lang w:eastAsia="ar-SA"/>
        </w:rPr>
      </w:pPr>
    </w:p>
    <w:p w14:paraId="5AB7FE2D" w14:textId="77777777" w:rsidR="00771AD7" w:rsidRDefault="00050F4E" w:rsidP="007C482E">
      <w:pPr>
        <w:pStyle w:val="Lijstalinea"/>
        <w:numPr>
          <w:ilvl w:val="0"/>
          <w:numId w:val="69"/>
        </w:numPr>
        <w:suppressAutoHyphens/>
        <w:spacing w:line="276" w:lineRule="auto"/>
        <w:rPr>
          <w:rFonts w:eastAsia="SimSun"/>
          <w:szCs w:val="24"/>
          <w:lang w:eastAsia="ar-SA"/>
        </w:rPr>
      </w:pPr>
      <w:r w:rsidRPr="00771AD7">
        <w:rPr>
          <w:rFonts w:eastAsia="SimSun"/>
          <w:szCs w:val="24"/>
          <w:u w:val="single"/>
          <w:lang w:eastAsia="ar-SA"/>
        </w:rPr>
        <w:t>Triggering event:</w:t>
      </w:r>
      <w:r w:rsidRPr="00771AD7">
        <w:rPr>
          <w:rFonts w:eastAsia="SimSun"/>
          <w:szCs w:val="24"/>
          <w:lang w:eastAsia="ar-SA"/>
        </w:rPr>
        <w:t xml:space="preserve"> </w:t>
      </w:r>
    </w:p>
    <w:p w14:paraId="65B6C474" w14:textId="1A2F6E31" w:rsidR="009F205D" w:rsidRPr="009F205D" w:rsidRDefault="009F205D" w:rsidP="009F205D">
      <w:pPr>
        <w:suppressAutoHyphens/>
        <w:spacing w:line="276" w:lineRule="auto"/>
        <w:rPr>
          <w:rFonts w:ascii="Times New Roman" w:eastAsia="SimSun" w:hAnsi="Times New Roman" w:cs="Times New Roman"/>
          <w:sz w:val="24"/>
          <w:szCs w:val="24"/>
          <w:lang w:eastAsia="ar-SA"/>
        </w:rPr>
      </w:pPr>
      <w:r w:rsidRPr="009F205D">
        <w:rPr>
          <w:rFonts w:ascii="Times New Roman" w:eastAsia="SimSun" w:hAnsi="Times New Roman" w:cs="Times New Roman"/>
          <w:sz w:val="24"/>
          <w:szCs w:val="24"/>
          <w:lang w:eastAsia="ar-SA"/>
        </w:rPr>
        <w:t xml:space="preserve">The unit contribution for preparatory visit is </w:t>
      </w:r>
      <w:r w:rsidR="00541E21">
        <w:rPr>
          <w:rFonts w:ascii="Times New Roman" w:eastAsia="SimSun" w:hAnsi="Times New Roman" w:cs="Times New Roman"/>
          <w:sz w:val="24"/>
          <w:szCs w:val="24"/>
          <w:lang w:eastAsia="ar-SA"/>
        </w:rPr>
        <w:t xml:space="preserve">eligible </w:t>
      </w:r>
      <w:r w:rsidRPr="009F205D">
        <w:rPr>
          <w:rFonts w:ascii="Times New Roman" w:eastAsia="SimSun" w:hAnsi="Times New Roman" w:cs="Times New Roman"/>
          <w:sz w:val="24"/>
          <w:szCs w:val="24"/>
          <w:lang w:eastAsia="ar-SA"/>
        </w:rPr>
        <w:t>if the participant has actually undertaken the preparatory visit.</w:t>
      </w:r>
    </w:p>
    <w:p w14:paraId="129C6185" w14:textId="33095488" w:rsidR="00791FB8" w:rsidRPr="00771AD7" w:rsidRDefault="00050F4E" w:rsidP="007C482E">
      <w:pPr>
        <w:pStyle w:val="Lijstalinea"/>
        <w:numPr>
          <w:ilvl w:val="0"/>
          <w:numId w:val="69"/>
        </w:numPr>
        <w:suppressAutoHyphens/>
        <w:spacing w:line="276" w:lineRule="auto"/>
        <w:rPr>
          <w:rFonts w:eastAsia="SimSun"/>
          <w:szCs w:val="24"/>
          <w:lang w:eastAsia="ar-SA"/>
        </w:rPr>
      </w:pPr>
      <w:r w:rsidRPr="00771AD7">
        <w:rPr>
          <w:rFonts w:eastAsia="SimSun"/>
          <w:szCs w:val="24"/>
          <w:u w:val="single"/>
          <w:lang w:eastAsia="ar-SA"/>
        </w:rPr>
        <w:t>Supporting documents:</w:t>
      </w:r>
      <w:r w:rsidRPr="00771AD7">
        <w:rPr>
          <w:rFonts w:eastAsia="SimSun"/>
          <w:szCs w:val="24"/>
          <w:lang w:eastAsia="ar-SA"/>
        </w:rPr>
        <w:t xml:space="preserve"> </w:t>
      </w:r>
    </w:p>
    <w:p w14:paraId="3836AD74" w14:textId="2D4CBB8B" w:rsidR="00050F4E" w:rsidRPr="0065476B" w:rsidRDefault="00541E21" w:rsidP="00393596">
      <w:pPr>
        <w:suppressAutoHyphens/>
        <w:spacing w:after="200" w:line="276" w:lineRule="auto"/>
        <w:jc w:val="both"/>
        <w:rPr>
          <w:rFonts w:ascii="Times New Roman" w:eastAsia="SimSun" w:hAnsi="Times New Roman" w:cs="Times New Roman"/>
          <w:sz w:val="24"/>
          <w:szCs w:val="24"/>
          <w:lang w:eastAsia="ar-SA"/>
        </w:rPr>
      </w:pPr>
      <w:r w:rsidRPr="00541E21">
        <w:rPr>
          <w:rFonts w:ascii="Times New Roman" w:eastAsia="Times New Roman" w:hAnsi="Times New Roman" w:cs="Times New Roman"/>
          <w:color w:val="000000"/>
          <w:sz w:val="24"/>
          <w:szCs w:val="24"/>
          <w:lang w:eastAsia="ar-SA"/>
        </w:rPr>
        <w:t xml:space="preserve">The supporting  document  is </w:t>
      </w:r>
      <w:r w:rsidR="009E04D3" w:rsidRPr="009E04D3">
        <w:rPr>
          <w:rFonts w:ascii="Times New Roman" w:eastAsia="Times New Roman" w:hAnsi="Times New Roman" w:cs="Times New Roman"/>
          <w:color w:val="000000"/>
          <w:sz w:val="24"/>
          <w:szCs w:val="24"/>
          <w:lang w:eastAsia="ar-SA"/>
        </w:rPr>
        <w:t>a</w:t>
      </w:r>
      <w:r w:rsidR="009F205D">
        <w:rPr>
          <w:rFonts w:ascii="Times New Roman" w:eastAsia="Times New Roman" w:hAnsi="Times New Roman" w:cs="Times New Roman"/>
          <w:color w:val="000000"/>
          <w:sz w:val="24"/>
          <w:szCs w:val="24"/>
          <w:lang w:eastAsia="ar-SA"/>
        </w:rPr>
        <w:t xml:space="preserve"> completed</w:t>
      </w:r>
      <w:r w:rsidR="009E04D3" w:rsidRPr="009E04D3">
        <w:rPr>
          <w:rFonts w:ascii="Times New Roman" w:eastAsia="Times New Roman" w:hAnsi="Times New Roman" w:cs="Times New Roman"/>
          <w:color w:val="000000"/>
          <w:sz w:val="24"/>
          <w:szCs w:val="24"/>
          <w:lang w:eastAsia="ar-SA"/>
        </w:rPr>
        <w:t xml:space="preserve"> agenda</w:t>
      </w:r>
      <w:r w:rsidR="009F205D">
        <w:rPr>
          <w:rFonts w:ascii="Times New Roman" w:eastAsia="Times New Roman" w:hAnsi="Times New Roman" w:cs="Times New Roman"/>
          <w:color w:val="000000"/>
          <w:sz w:val="24"/>
          <w:szCs w:val="24"/>
          <w:lang w:eastAsia="ar-SA"/>
        </w:rPr>
        <w:t xml:space="preserve">, including </w:t>
      </w:r>
      <w:r w:rsidR="009F205D" w:rsidRPr="0065476B">
        <w:rPr>
          <w:rFonts w:ascii="Times New Roman" w:eastAsia="Times New Roman" w:hAnsi="Times New Roman" w:cs="Times New Roman"/>
          <w:color w:val="000000"/>
          <w:sz w:val="24"/>
          <w:szCs w:val="24"/>
          <w:lang w:eastAsia="ar-SA"/>
        </w:rPr>
        <w:t>the name</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of the </w:t>
      </w:r>
      <w:r w:rsidR="009F205D">
        <w:rPr>
          <w:rFonts w:ascii="Times New Roman" w:eastAsia="Times New Roman" w:hAnsi="Times New Roman" w:cs="Times New Roman"/>
          <w:color w:val="000000"/>
          <w:sz w:val="24"/>
          <w:szCs w:val="24"/>
          <w:lang w:eastAsia="ar-SA"/>
        </w:rPr>
        <w:t xml:space="preserve">visiting </w:t>
      </w:r>
      <w:r w:rsidR="009F205D" w:rsidRPr="0065476B">
        <w:rPr>
          <w:rFonts w:ascii="Times New Roman" w:eastAsia="Times New Roman" w:hAnsi="Times New Roman" w:cs="Times New Roman"/>
          <w:color w:val="000000"/>
          <w:sz w:val="24"/>
          <w:szCs w:val="24"/>
          <w:lang w:eastAsia="ar-SA"/>
        </w:rPr>
        <w:t>person</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and signed by the </w:t>
      </w:r>
      <w:r w:rsidR="009F205D">
        <w:rPr>
          <w:rFonts w:ascii="Times New Roman" w:eastAsia="Times New Roman" w:hAnsi="Times New Roman" w:cs="Times New Roman"/>
          <w:color w:val="000000"/>
          <w:sz w:val="24"/>
          <w:szCs w:val="24"/>
          <w:lang w:eastAsia="ar-SA"/>
        </w:rPr>
        <w:t>visiting persons</w:t>
      </w:r>
      <w:r w:rsidR="009F205D" w:rsidRPr="0065476B">
        <w:rPr>
          <w:rFonts w:ascii="Times New Roman" w:eastAsia="Times New Roman" w:hAnsi="Times New Roman" w:cs="Times New Roman"/>
          <w:color w:val="000000"/>
          <w:sz w:val="24"/>
          <w:szCs w:val="24"/>
          <w:lang w:eastAsia="ar-SA"/>
        </w:rPr>
        <w:t xml:space="preserve"> and the </w:t>
      </w:r>
      <w:r w:rsidR="00D10485">
        <w:rPr>
          <w:rFonts w:ascii="Times New Roman" w:eastAsia="Times New Roman" w:hAnsi="Times New Roman" w:cs="Times New Roman"/>
          <w:color w:val="000000"/>
          <w:sz w:val="24"/>
          <w:szCs w:val="24"/>
          <w:lang w:eastAsia="ar-SA"/>
        </w:rPr>
        <w:t>host</w:t>
      </w:r>
      <w:r w:rsidR="00D10485" w:rsidRPr="0065476B">
        <w:rPr>
          <w:rFonts w:ascii="Times New Roman" w:eastAsia="Times New Roman" w:hAnsi="Times New Roman" w:cs="Times New Roman"/>
          <w:color w:val="000000"/>
          <w:sz w:val="24"/>
          <w:szCs w:val="24"/>
          <w:lang w:eastAsia="ar-SA"/>
        </w:rPr>
        <w:t xml:space="preserve"> </w:t>
      </w:r>
      <w:r w:rsidR="009F205D" w:rsidRPr="0065476B">
        <w:rPr>
          <w:rFonts w:ascii="Times New Roman" w:eastAsia="Times New Roman" w:hAnsi="Times New Roman" w:cs="Times New Roman"/>
          <w:color w:val="000000"/>
          <w:sz w:val="24"/>
          <w:szCs w:val="24"/>
          <w:lang w:eastAsia="ar-SA"/>
        </w:rPr>
        <w:t>organisation</w:t>
      </w:r>
      <w:r w:rsidR="009E04D3" w:rsidRPr="009E04D3">
        <w:rPr>
          <w:rFonts w:ascii="Times New Roman" w:eastAsia="Times New Roman" w:hAnsi="Times New Roman" w:cs="Times New Roman"/>
          <w:color w:val="000000"/>
          <w:sz w:val="24"/>
          <w:szCs w:val="24"/>
          <w:lang w:eastAsia="ar-SA"/>
        </w:rPr>
        <w:t>.</w:t>
      </w:r>
    </w:p>
    <w:p w14:paraId="31FB74A5" w14:textId="7944DED5" w:rsidR="00050F4E" w:rsidRPr="00771AD7" w:rsidRDefault="00AF1DF9" w:rsidP="00393596">
      <w:pPr>
        <w:pStyle w:val="Kop1"/>
        <w:numPr>
          <w:ilvl w:val="0"/>
          <w:numId w:val="81"/>
        </w:numPr>
        <w:rPr>
          <w:rFonts w:eastAsia="Calibri"/>
          <w:lang w:eastAsia="ar-SA"/>
        </w:rPr>
      </w:pPr>
      <w:r w:rsidRPr="00DB7C89">
        <w:rPr>
          <w:rFonts w:eastAsia="Calibri"/>
          <w:lang w:eastAsia="ar-SA"/>
        </w:rPr>
        <w:t>Actual costs</w:t>
      </w:r>
    </w:p>
    <w:p w14:paraId="347FB32E" w14:textId="36DA6B80" w:rsidR="00050F4E" w:rsidRPr="00151501" w:rsidRDefault="009E04D3" w:rsidP="002A7DE8">
      <w:pPr>
        <w:pStyle w:val="Kop2"/>
        <w:ind w:left="284" w:firstLine="0"/>
        <w:rPr>
          <w:rFonts w:eastAsia="Calibri"/>
          <w:lang w:eastAsia="ar-SA"/>
        </w:rPr>
      </w:pPr>
      <w:r>
        <w:rPr>
          <w:rFonts w:eastAsia="Calibri"/>
          <w:lang w:eastAsia="ar-SA"/>
        </w:rPr>
        <w:t xml:space="preserve">2.1. </w:t>
      </w:r>
      <w:r w:rsidR="00050F4E">
        <w:rPr>
          <w:rFonts w:eastAsia="Calibri"/>
          <w:lang w:eastAsia="ar-SA"/>
        </w:rPr>
        <w:t>Exceptional costs</w:t>
      </w:r>
    </w:p>
    <w:p w14:paraId="44F63A9D" w14:textId="545B3821" w:rsidR="00151501" w:rsidRPr="00151501" w:rsidRDefault="00050F4E" w:rsidP="00151501">
      <w:pPr>
        <w:pStyle w:val="Lijstalinea"/>
        <w:numPr>
          <w:ilvl w:val="0"/>
          <w:numId w:val="71"/>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0835CE1A" w:rsidR="00050F4E"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Pr="002A7DE8">
        <w:rPr>
          <w:rFonts w:ascii="Times New Roman" w:eastAsia="Calibri" w:hAnsi="Times New Roman" w:cs="Times New Roman"/>
          <w:sz w:val="24"/>
          <w:szCs w:val="24"/>
          <w:lang w:eastAsia="ar-SA"/>
        </w:rPr>
        <w:t>he grant is a reimbursement of 80% of the eligible costs</w:t>
      </w:r>
      <w:r w:rsidR="008B5CAF">
        <w:rPr>
          <w:rFonts w:ascii="Times New Roman" w:eastAsia="Calibri" w:hAnsi="Times New Roman" w:cs="Times New Roman"/>
          <w:sz w:val="24"/>
          <w:szCs w:val="24"/>
          <w:lang w:eastAsia="ar-SA"/>
        </w:rPr>
        <w:t xml:space="preserve"> for financial guarantee, </w:t>
      </w:r>
      <w:r w:rsidRPr="002A7DE8">
        <w:rPr>
          <w:rFonts w:ascii="Times New Roman" w:eastAsia="Calibri" w:hAnsi="Times New Roman" w:cs="Times New Roman"/>
          <w:sz w:val="24"/>
          <w:szCs w:val="24"/>
          <w:lang w:eastAsia="ar-SA"/>
        </w:rPr>
        <w:t>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Pr>
          <w:rFonts w:ascii="Times New Roman" w:eastAsia="Calibri" w:hAnsi="Times New Roman" w:cs="Times New Roman"/>
          <w:sz w:val="24"/>
          <w:szCs w:val="24"/>
          <w:lang w:eastAsia="ar-SA"/>
        </w:rPr>
        <w:t>.</w:t>
      </w:r>
    </w:p>
    <w:p w14:paraId="648AE5D7" w14:textId="77777777" w:rsidR="00297C4E" w:rsidRDefault="00297C4E">
      <w:pPr>
        <w:rPr>
          <w:rFonts w:ascii="Times New Roman" w:eastAsia="Calibri" w:hAnsi="Times New Roman" w:cs="Times New Roman"/>
          <w:sz w:val="24"/>
          <w:szCs w:val="24"/>
          <w:u w:val="single"/>
          <w:lang w:eastAsia="ar-SA"/>
        </w:rPr>
      </w:pPr>
      <w:r>
        <w:rPr>
          <w:rFonts w:eastAsia="Calibri"/>
          <w:szCs w:val="24"/>
          <w:u w:val="single"/>
          <w:lang w:eastAsia="ar-SA"/>
        </w:rPr>
        <w:br w:type="page"/>
      </w:r>
    </w:p>
    <w:p w14:paraId="02591061" w14:textId="6B34D2E1" w:rsidR="00661357" w:rsidRDefault="00050F4E" w:rsidP="002A7DE8">
      <w:pPr>
        <w:pStyle w:val="Lijstalinea"/>
        <w:numPr>
          <w:ilvl w:val="0"/>
          <w:numId w:val="71"/>
        </w:numPr>
        <w:suppressAutoHyphens/>
        <w:spacing w:line="276" w:lineRule="auto"/>
        <w:rPr>
          <w:rFonts w:eastAsia="Calibri"/>
          <w:szCs w:val="24"/>
          <w:u w:val="single"/>
          <w:lang w:eastAsia="ar-SA"/>
        </w:rPr>
      </w:pPr>
      <w:r w:rsidRPr="00151501">
        <w:rPr>
          <w:rFonts w:eastAsia="Calibri"/>
          <w:szCs w:val="24"/>
          <w:u w:val="single"/>
          <w:lang w:eastAsia="ar-SA"/>
        </w:rPr>
        <w:lastRenderedPageBreak/>
        <w:t xml:space="preserve">Eligible costs: </w:t>
      </w:r>
    </w:p>
    <w:p w14:paraId="6ABE669E" w14:textId="36FE5950" w:rsidR="00661357"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 xml:space="preserve">Costs relating to a pre-financing guarantee lodged by the beneficiary where such guarantee is required by the NA, as </w:t>
      </w:r>
      <w:r w:rsidR="00C65278">
        <w:rPr>
          <w:rFonts w:eastAsia="Calibri"/>
          <w:szCs w:val="24"/>
          <w:lang w:eastAsia="ar-SA"/>
        </w:rPr>
        <w:t>set out</w:t>
      </w:r>
      <w:r w:rsidR="00C65278" w:rsidRPr="00771AD7">
        <w:rPr>
          <w:rFonts w:eastAsia="Calibri"/>
          <w:szCs w:val="24"/>
          <w:lang w:eastAsia="ar-SA"/>
        </w:rPr>
        <w:t xml:space="preserve"> </w:t>
      </w:r>
      <w:r w:rsidRPr="00771AD7">
        <w:rPr>
          <w:rFonts w:eastAsia="Calibri"/>
          <w:szCs w:val="24"/>
          <w:lang w:eastAsia="ar-SA"/>
        </w:rPr>
        <w:t>in</w:t>
      </w:r>
      <w:r w:rsidR="00771AD7" w:rsidRPr="00771AD7">
        <w:rPr>
          <w:rFonts w:eastAsia="Calibri"/>
          <w:szCs w:val="24"/>
          <w:lang w:eastAsia="ar-SA"/>
        </w:rPr>
        <w:t xml:space="preserve"> the Data Sheet </w:t>
      </w:r>
      <w:r w:rsidR="00C65278">
        <w:rPr>
          <w:rFonts w:eastAsia="Calibri"/>
          <w:szCs w:val="24"/>
          <w:lang w:eastAsia="ar-SA"/>
        </w:rPr>
        <w:t>(see Point 4)</w:t>
      </w:r>
      <w:r w:rsidRPr="00771AD7">
        <w:rPr>
          <w:rFonts w:eastAsia="Calibri"/>
          <w:szCs w:val="24"/>
          <w:lang w:eastAsia="ar-SA"/>
        </w:rPr>
        <w:t>.</w:t>
      </w:r>
    </w:p>
    <w:p w14:paraId="052B1B12" w14:textId="77777777" w:rsidR="00661357"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Costs of travel in the most economical but also effective way for eligible participants for which the standard funding rule does not cover at least 70% of the eligible costs. The exceptional costs for expensive travel replace the separate travel grant.</w:t>
      </w:r>
    </w:p>
    <w:p w14:paraId="2E590CC9" w14:textId="630FEC5E" w:rsidR="00661357" w:rsidRPr="00771AD7" w:rsidRDefault="00661357" w:rsidP="00771AD7">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Costs incurred by organisations to support the participation of young people with fewer opportunities or with special needs on equal terms as others related to:</w:t>
      </w:r>
    </w:p>
    <w:p w14:paraId="3F06F1C4" w14:textId="77777777" w:rsidR="00513425" w:rsidRPr="00771AD7" w:rsidRDefault="00661357" w:rsidP="002A7DE8">
      <w:pPr>
        <w:pStyle w:val="Lijstalinea"/>
        <w:numPr>
          <w:ilvl w:val="0"/>
          <w:numId w:val="34"/>
        </w:numPr>
        <w:suppressAutoHyphens/>
        <w:spacing w:line="276" w:lineRule="auto"/>
        <w:ind w:left="993"/>
        <w:rPr>
          <w:rFonts w:eastAsia="Calibri"/>
          <w:szCs w:val="24"/>
          <w:lang w:eastAsia="ar-SA"/>
        </w:rPr>
      </w:pPr>
      <w:r w:rsidRPr="00771AD7">
        <w:rPr>
          <w:rFonts w:eastAsia="Calibri"/>
          <w:szCs w:val="24"/>
          <w:lang w:eastAsia="ar-SA"/>
        </w:rPr>
        <w:t>reasonable adjustments or investment in physical assets</w:t>
      </w:r>
    </w:p>
    <w:p w14:paraId="7B6FF47C" w14:textId="5C2394B3" w:rsidR="00661357" w:rsidRPr="00771AD7" w:rsidRDefault="00661357" w:rsidP="002A7DE8">
      <w:pPr>
        <w:pStyle w:val="Lijstalinea"/>
        <w:numPr>
          <w:ilvl w:val="0"/>
          <w:numId w:val="34"/>
        </w:numPr>
        <w:suppressAutoHyphens/>
        <w:spacing w:line="276" w:lineRule="auto"/>
        <w:ind w:left="993"/>
        <w:rPr>
          <w:rFonts w:eastAsia="Calibri"/>
          <w:szCs w:val="24"/>
          <w:lang w:eastAsia="ar-SA"/>
        </w:rPr>
      </w:pPr>
      <w:r w:rsidRPr="00771AD7">
        <w:rPr>
          <w:rFonts w:eastAsia="Calibri"/>
          <w:szCs w:val="24"/>
          <w:lang w:eastAsia="ar-SA"/>
        </w:rPr>
        <w:t>reinforced mentorship, i.e. the preparation, implementation and follow-up of tailor-made activities. Applicants must justify that the standard funding ("Inclusion support" unit cost per day per participant) does not cover at least 80 % of the costs incurred for reinforced mentorship. If awarded, the exceptional costs to support the participation of young people with fewer opportunities will replace the inclusion supp</w:t>
      </w:r>
      <w:r w:rsidR="00513425" w:rsidRPr="00771AD7">
        <w:rPr>
          <w:rFonts w:eastAsia="Calibri"/>
          <w:szCs w:val="24"/>
          <w:lang w:eastAsia="ar-SA"/>
        </w:rPr>
        <w:t>ort grant.</w:t>
      </w:r>
    </w:p>
    <w:p w14:paraId="339C7742" w14:textId="77777777" w:rsidR="00513425"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Costs connected to personal insurance for in-country activities.</w:t>
      </w:r>
    </w:p>
    <w:p w14:paraId="52A2D810" w14:textId="4974890B" w:rsidR="00513425"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Recognition of academic and/or professional qualifications (e.g. certified copies, translations, administrative proceedings, aptitude tests, etc</w:t>
      </w:r>
      <w:r w:rsidR="00C65278">
        <w:rPr>
          <w:rFonts w:eastAsia="Calibri"/>
          <w:szCs w:val="24"/>
          <w:lang w:eastAsia="ar-SA"/>
        </w:rPr>
        <w:t>.</w:t>
      </w:r>
      <w:r w:rsidRPr="00771AD7">
        <w:rPr>
          <w:rFonts w:eastAsia="Calibri"/>
          <w:szCs w:val="24"/>
          <w:lang w:eastAsia="ar-SA"/>
        </w:rPr>
        <w:t>).</w:t>
      </w:r>
    </w:p>
    <w:p w14:paraId="69EFF68D" w14:textId="77777777" w:rsidR="00C743DD"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Visa and visa-related costs, residence permits, vaccinations, medical certifications, clearance requirements costs.</w:t>
      </w:r>
      <w:r w:rsidR="00C743DD" w:rsidRPr="00771AD7">
        <w:rPr>
          <w:rFonts w:eastAsiaTheme="minorHAnsi" w:cstheme="minorBidi"/>
          <w:i/>
          <w:color w:val="4AA55B"/>
          <w:szCs w:val="24"/>
          <w:lang w:val="en-US"/>
        </w:rPr>
        <w:t>]</w:t>
      </w:r>
    </w:p>
    <w:p w14:paraId="08FB368E" w14:textId="1DEA29C1" w:rsidR="00050F4E" w:rsidRPr="00771AD7" w:rsidRDefault="00050F4E" w:rsidP="00771AD7">
      <w:pPr>
        <w:pStyle w:val="Lijstalinea"/>
        <w:numPr>
          <w:ilvl w:val="0"/>
          <w:numId w:val="71"/>
        </w:numPr>
        <w:suppressAutoHyphens/>
        <w:spacing w:line="276" w:lineRule="auto"/>
        <w:rPr>
          <w:rFonts w:eastAsia="SimSun"/>
          <w:szCs w:val="24"/>
          <w:u w:val="single"/>
          <w:lang w:eastAsia="ar-SA"/>
        </w:rPr>
      </w:pPr>
      <w:r w:rsidRPr="002A7DE8">
        <w:rPr>
          <w:rFonts w:eastAsia="Calibri"/>
          <w:szCs w:val="24"/>
          <w:u w:val="single"/>
          <w:lang w:eastAsia="ar-SA"/>
        </w:rPr>
        <w:t>Supporting</w:t>
      </w:r>
      <w:r w:rsidRPr="009D67F6">
        <w:rPr>
          <w:rFonts w:eastAsia="SimSun"/>
          <w:szCs w:val="24"/>
          <w:u w:val="single"/>
          <w:lang w:eastAsia="ar-SA"/>
        </w:rPr>
        <w:t xml:space="preserve"> documents:</w:t>
      </w:r>
    </w:p>
    <w:p w14:paraId="2868964B" w14:textId="48CA4CE5" w:rsidR="00050F4E" w:rsidRPr="00134C41" w:rsidRDefault="00050F4E" w:rsidP="00393596">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393EFED" w14:textId="77777777"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travel costs: proof of payment of the related costs on the basis of invoices specifying the name and address of the body issuing the invoice, the amount and currency, the date of the invoice and the travel route.</w:t>
      </w:r>
    </w:p>
    <w:p w14:paraId="5135B857" w14:textId="08A1745A"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r w:rsidR="00C65278">
        <w:rPr>
          <w:rFonts w:ascii="Times New Roman" w:eastAsia="SimSun" w:hAnsi="Times New Roman" w:cs="Times New Roman"/>
          <w:sz w:val="24"/>
          <w:szCs w:val="24"/>
          <w:lang w:eastAsia="ar-SA"/>
        </w:rPr>
        <w:t>.</w:t>
      </w:r>
      <w:r w:rsidR="00351C34">
        <w:rPr>
          <w:rFonts w:ascii="Times New Roman" w:eastAsia="SimSun" w:hAnsi="Times New Roman" w:cs="Times New Roman"/>
          <w:sz w:val="24"/>
          <w:szCs w:val="24"/>
          <w:lang w:eastAsia="ar-SA"/>
        </w:rPr>
        <w:t xml:space="preserve"> In the case of internal staff, timesheets </w:t>
      </w:r>
      <w:r w:rsidR="00514305">
        <w:rPr>
          <w:rFonts w:ascii="Times New Roman" w:eastAsia="SimSun" w:hAnsi="Times New Roman" w:cs="Times New Roman"/>
          <w:sz w:val="24"/>
          <w:szCs w:val="24"/>
          <w:lang w:eastAsia="ar-SA"/>
        </w:rPr>
        <w:t xml:space="preserve">signed by the manager in line </w:t>
      </w:r>
      <w:r w:rsidR="00351C34">
        <w:rPr>
          <w:rFonts w:ascii="Times New Roman" w:eastAsia="SimSun" w:hAnsi="Times New Roman" w:cs="Times New Roman"/>
          <w:sz w:val="24"/>
          <w:szCs w:val="24"/>
          <w:lang w:eastAsia="ar-SA"/>
        </w:rPr>
        <w:t>are also acceptable provided they specify the number of hours and the cost per hour.</w:t>
      </w:r>
    </w:p>
    <w:p w14:paraId="0BE4716B" w14:textId="23BEB7F7" w:rsid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lastRenderedPageBreak/>
        <w:t>In the case of costs related to visas, residence permits and vaccinations, as well as other costs specified above: proof of payment on the basis of invoices specifying the name and address of the body issuing the invoice, the amount and currency, and the date of the invoice.</w:t>
      </w:r>
    </w:p>
    <w:p w14:paraId="37C86A38" w14:textId="77777777" w:rsidR="00211C9B" w:rsidRDefault="002346BA" w:rsidP="00211C9B">
      <w:pPr>
        <w:pStyle w:val="Lijstalinea"/>
        <w:numPr>
          <w:ilvl w:val="0"/>
          <w:numId w:val="71"/>
        </w:numPr>
        <w:suppressAutoHyphens/>
        <w:spacing w:line="276" w:lineRule="auto"/>
        <w:rPr>
          <w:rFonts w:eastAsia="Calibri"/>
          <w:szCs w:val="24"/>
          <w:u w:val="single"/>
          <w:lang w:eastAsia="ar-SA"/>
        </w:rPr>
      </w:pPr>
      <w:r w:rsidRPr="002A7DE8">
        <w:rPr>
          <w:rFonts w:eastAsia="Calibri"/>
          <w:szCs w:val="24"/>
          <w:u w:val="single"/>
          <w:lang w:eastAsia="ar-SA"/>
        </w:rPr>
        <w:t>Reporting</w:t>
      </w:r>
    </w:p>
    <w:p w14:paraId="34E2274B" w14:textId="22567E37" w:rsidR="004C7D40" w:rsidRPr="00297C4E" w:rsidRDefault="00C65278" w:rsidP="00297C4E">
      <w:pPr>
        <w:spacing w:before="100" w:beforeAutospacing="1" w:after="100" w:afterAutospacing="1" w:line="276" w:lineRule="auto"/>
        <w:jc w:val="both"/>
        <w:rPr>
          <w:i/>
          <w:color w:val="4AA55B"/>
          <w:shd w:val="clear" w:color="auto" w:fill="CCFFFF"/>
        </w:rPr>
      </w:pPr>
      <w:r>
        <w:rPr>
          <w:rFonts w:ascii="Times New Roman" w:eastAsia="SimSun" w:hAnsi="Times New Roman" w:cs="Times New Roman"/>
          <w:sz w:val="24"/>
          <w:szCs w:val="24"/>
          <w:lang w:eastAsia="ar-SA"/>
        </w:rPr>
        <w:t>For each exceptional cost</w:t>
      </w:r>
      <w:r w:rsidR="00211C9B" w:rsidRPr="002A7DE8">
        <w:rPr>
          <w:rFonts w:ascii="Times New Roman" w:eastAsia="SimSun" w:hAnsi="Times New Roman" w:cs="Times New Roman"/>
          <w:sz w:val="24"/>
          <w:szCs w:val="24"/>
          <w:lang w:eastAsia="ar-SA"/>
        </w:rPr>
        <w:t xml:space="preserve"> the beneficiary must report the type of costs and the real amount of costs incurred.</w:t>
      </w: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04468260" w:rsidR="00E0295F" w:rsidRDefault="00E0295F">
        <w:pPr>
          <w:pStyle w:val="Voettekst"/>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proofState w:spelling="clean"/>
  <w:defaultTabStop w:val="72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9EF"/>
    <w:rsid w:val="001C2C06"/>
    <w:rsid w:val="001D544C"/>
    <w:rsid w:val="001D6842"/>
    <w:rsid w:val="001E1FF7"/>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97C4E"/>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A3AD2"/>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5C65"/>
    <w:rsid w:val="00443879"/>
    <w:rsid w:val="00443E91"/>
    <w:rsid w:val="00445013"/>
    <w:rsid w:val="004456FE"/>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1E21"/>
    <w:rsid w:val="00543BD7"/>
    <w:rsid w:val="00544C8E"/>
    <w:rsid w:val="00546C4D"/>
    <w:rsid w:val="00546C6F"/>
    <w:rsid w:val="005519F5"/>
    <w:rsid w:val="00552893"/>
    <w:rsid w:val="00557C89"/>
    <w:rsid w:val="00560CAB"/>
    <w:rsid w:val="005613B5"/>
    <w:rsid w:val="005619CC"/>
    <w:rsid w:val="00562065"/>
    <w:rsid w:val="00563330"/>
    <w:rsid w:val="00565768"/>
    <w:rsid w:val="00565FCF"/>
    <w:rsid w:val="00572320"/>
    <w:rsid w:val="0057360D"/>
    <w:rsid w:val="00573BA8"/>
    <w:rsid w:val="005760BA"/>
    <w:rsid w:val="005769E9"/>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92D1A"/>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181B"/>
    <w:rsid w:val="007340A1"/>
    <w:rsid w:val="007349A4"/>
    <w:rsid w:val="007363C6"/>
    <w:rsid w:val="00736544"/>
    <w:rsid w:val="00744151"/>
    <w:rsid w:val="00747B85"/>
    <w:rsid w:val="0075068E"/>
    <w:rsid w:val="00754024"/>
    <w:rsid w:val="00754B99"/>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43F3"/>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1723A"/>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3B50"/>
    <w:rsid w:val="00AC469F"/>
    <w:rsid w:val="00AC79EB"/>
    <w:rsid w:val="00AD2337"/>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E2"/>
    <w:rsid w:val="00C26334"/>
    <w:rsid w:val="00C31AB8"/>
    <w:rsid w:val="00C335DA"/>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3C89"/>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A55BA"/>
    <w:rsid w:val="00EB1E5C"/>
    <w:rsid w:val="00EB25FD"/>
    <w:rsid w:val="00EB2CC0"/>
    <w:rsid w:val="00EB2EC4"/>
    <w:rsid w:val="00EB4AC0"/>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85A69"/>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rasmus-plus.ec.europa.eu/resources-and-tools/distance-calculato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45AAD-1C8C-444E-9CC1-5E5FC431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3.xml><?xml version="1.0" encoding="utf-8"?>
<ds:datastoreItem xmlns:ds="http://schemas.openxmlformats.org/officeDocument/2006/customXml" ds:itemID="{A96A5624-66EE-4120-95BE-BE267227C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2238</Words>
  <Characters>12314</Characters>
  <Application>Microsoft Office Word</Application>
  <DocSecurity>0</DocSecurity>
  <Lines>102</Lines>
  <Paragraphs>29</Paragraphs>
  <ScaleCrop>false</ScaleCrop>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2024-04-19T15:04:00Z</dcterms:created>
  <dcterms:modified xsi:type="dcterms:W3CDTF">2024-06-11T09:38:00Z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ies>
</file>